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CD1B1" w14:textId="60CFC1DE" w:rsidR="005650F4" w:rsidRPr="005650F4" w:rsidRDefault="005650F4" w:rsidP="005650F4">
      <w:pPr>
        <w:pStyle w:val="Header-3gppTdoc"/>
      </w:pPr>
      <w:r w:rsidRPr="005650F4">
        <w:t>3GPP TSG-RAN WG4 Meeting #90</w:t>
      </w:r>
      <w:r w:rsidRPr="005650F4">
        <w:tab/>
      </w:r>
      <w:r>
        <w:t xml:space="preserve"> </w:t>
      </w:r>
      <w:r>
        <w:tab/>
      </w:r>
      <w:r w:rsidRPr="005650F4">
        <w:t>R4-190</w:t>
      </w:r>
      <w:r w:rsidR="00F26175">
        <w:t>0111</w:t>
      </w:r>
    </w:p>
    <w:p w14:paraId="0A156C04" w14:textId="77777777" w:rsidR="00F25FDF" w:rsidRPr="00F25FDF" w:rsidRDefault="005650F4" w:rsidP="005650F4">
      <w:pPr>
        <w:pStyle w:val="Header-3gppTdoc"/>
      </w:pPr>
      <w:r w:rsidRPr="005650F4">
        <w:t>Athens</w:t>
      </w:r>
      <w:r w:rsidRPr="005650F4">
        <w:rPr>
          <w:rFonts w:hint="eastAsia"/>
        </w:rPr>
        <w:t xml:space="preserve">, </w:t>
      </w:r>
      <w:r w:rsidRPr="005650F4">
        <w:t>GR, 25</w:t>
      </w:r>
      <w:r w:rsidRPr="005650F4">
        <w:rPr>
          <w:vertAlign w:val="superscript"/>
        </w:rPr>
        <w:t xml:space="preserve">th </w:t>
      </w:r>
      <w:r w:rsidRPr="005650F4">
        <w:t>Feb –</w:t>
      </w:r>
      <w:r w:rsidRPr="005650F4">
        <w:rPr>
          <w:rFonts w:hint="eastAsia"/>
        </w:rPr>
        <w:t xml:space="preserve"> </w:t>
      </w:r>
      <w:r w:rsidRPr="005650F4">
        <w:t>1</w:t>
      </w:r>
      <w:r w:rsidRPr="005650F4">
        <w:rPr>
          <w:vertAlign w:val="superscript"/>
        </w:rPr>
        <w:t>st</w:t>
      </w:r>
      <w:r w:rsidRPr="005650F4">
        <w:t xml:space="preserve"> March, 2019</w:t>
      </w:r>
    </w:p>
    <w:p w14:paraId="72DD7A77" w14:textId="77777777" w:rsidR="00F25FDF" w:rsidRPr="00F25FDF" w:rsidRDefault="00F25FDF" w:rsidP="005650F4">
      <w:pPr>
        <w:pStyle w:val="Header-3gppTdoc"/>
        <w:spacing w:before="240"/>
      </w:pPr>
      <w:r w:rsidRPr="00F25FDF">
        <w:t xml:space="preserve">Agenda item:      </w:t>
      </w:r>
      <w:r w:rsidR="007E108E">
        <w:t xml:space="preserve"> </w:t>
      </w:r>
      <w:r w:rsidR="002E3D9D">
        <w:t>6.12.7.6</w:t>
      </w:r>
    </w:p>
    <w:p w14:paraId="35B01D18" w14:textId="77777777" w:rsidR="00F25FDF" w:rsidRPr="00F25FDF" w:rsidRDefault="00F25FDF" w:rsidP="005650F4">
      <w:pPr>
        <w:pStyle w:val="Header-3gppTdoc"/>
        <w:spacing w:before="240"/>
      </w:pPr>
      <w:r w:rsidRPr="00F25FDF">
        <w:t>Source:                Intel Corporation</w:t>
      </w:r>
    </w:p>
    <w:p w14:paraId="4058F0EB" w14:textId="511FDA9B" w:rsidR="00F25FDF" w:rsidRPr="00F25FDF" w:rsidRDefault="00037226" w:rsidP="005650F4">
      <w:pPr>
        <w:pStyle w:val="Header-3gppTdoc"/>
        <w:tabs>
          <w:tab w:val="clear" w:pos="4153"/>
          <w:tab w:val="center" w:pos="1980"/>
        </w:tabs>
        <w:spacing w:before="240"/>
      </w:pPr>
      <w:r>
        <w:t>Title:</w:t>
      </w:r>
      <w:r>
        <w:tab/>
        <w:t xml:space="preserve">                     </w:t>
      </w:r>
      <w:r w:rsidR="00AC3B8C">
        <w:t>On TCI State Switch</w:t>
      </w:r>
      <w:r w:rsidR="002E3D9D">
        <w:t xml:space="preserve"> Delay</w:t>
      </w:r>
    </w:p>
    <w:p w14:paraId="2F1F40FD" w14:textId="77777777" w:rsidR="00F25FDF" w:rsidRPr="00F25FDF" w:rsidRDefault="00F25FDF" w:rsidP="005650F4">
      <w:pPr>
        <w:pStyle w:val="Header-3gppTdoc"/>
        <w:spacing w:before="240"/>
      </w:pPr>
      <w:r w:rsidRPr="00F25FDF">
        <w:t>Document for:     Discussion</w:t>
      </w:r>
    </w:p>
    <w:p w14:paraId="5D0CE6AD"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52FA6099" w14:textId="3A23373A" w:rsidR="00B13CAE" w:rsidRDefault="00F25FDF" w:rsidP="00743717">
      <w:pPr>
        <w:spacing w:before="120" w:after="120"/>
      </w:pPr>
      <w:r>
        <w:t>In RAN4#8</w:t>
      </w:r>
      <w:r w:rsidR="00F26175">
        <w:t>9</w:t>
      </w:r>
      <w:r w:rsidR="00CD153C">
        <w:t xml:space="preserve"> way forward on TCI state switch was approved [1]. The open items to be addressed with regards to TCI state switch are:</w:t>
      </w:r>
    </w:p>
    <w:tbl>
      <w:tblPr>
        <w:tblStyle w:val="TableGrid"/>
        <w:tblW w:w="0" w:type="auto"/>
        <w:tblLook w:val="04A0" w:firstRow="1" w:lastRow="0" w:firstColumn="1" w:lastColumn="0" w:noHBand="0" w:noVBand="1"/>
      </w:tblPr>
      <w:tblGrid>
        <w:gridCol w:w="9350"/>
      </w:tblGrid>
      <w:tr w:rsidR="00CD153C" w14:paraId="0F57D69F" w14:textId="77777777" w:rsidTr="00CD153C">
        <w:tc>
          <w:tcPr>
            <w:tcW w:w="9350" w:type="dxa"/>
          </w:tcPr>
          <w:p w14:paraId="6A58C10B" w14:textId="77777777" w:rsidR="00FE08A8" w:rsidRPr="00CD153C" w:rsidRDefault="00910C27" w:rsidP="00CD153C">
            <w:pPr>
              <w:numPr>
                <w:ilvl w:val="0"/>
                <w:numId w:val="24"/>
              </w:numPr>
              <w:spacing w:before="120" w:after="120"/>
            </w:pPr>
            <w:r w:rsidRPr="00CD153C">
              <w:t>gNodeB can indicate the UE to switch its active TCI state</w:t>
            </w:r>
          </w:p>
          <w:p w14:paraId="69F2BFAD" w14:textId="77777777" w:rsidR="00FE08A8" w:rsidRPr="00CD153C" w:rsidRDefault="00910C27" w:rsidP="00CD153C">
            <w:pPr>
              <w:numPr>
                <w:ilvl w:val="1"/>
                <w:numId w:val="24"/>
              </w:numPr>
              <w:spacing w:before="120" w:after="120"/>
            </w:pPr>
            <w:r w:rsidRPr="00CD153C">
              <w:t>Both the old and new active TCI states will be from the set of RRC configured TCI states</w:t>
            </w:r>
          </w:p>
          <w:p w14:paraId="20B03348" w14:textId="77777777" w:rsidR="00FE08A8" w:rsidRPr="00CD153C" w:rsidRDefault="00910C27" w:rsidP="00CD153C">
            <w:pPr>
              <w:numPr>
                <w:ilvl w:val="1"/>
                <w:numId w:val="24"/>
              </w:numPr>
              <w:spacing w:before="120" w:after="120"/>
            </w:pPr>
            <w:r w:rsidRPr="00CD153C">
              <w:t>Open items</w:t>
            </w:r>
          </w:p>
          <w:p w14:paraId="22AC060F" w14:textId="77777777" w:rsidR="00FE08A8" w:rsidRPr="00CD153C" w:rsidRDefault="00910C27" w:rsidP="00CD153C">
            <w:pPr>
              <w:numPr>
                <w:ilvl w:val="2"/>
                <w:numId w:val="24"/>
              </w:numPr>
              <w:spacing w:before="120" w:after="120"/>
            </w:pPr>
            <w:r w:rsidRPr="00CD153C">
              <w:t>Define delays associated with an active TCI state switch</w:t>
            </w:r>
          </w:p>
          <w:p w14:paraId="3C712A11" w14:textId="77777777" w:rsidR="00FE08A8" w:rsidRPr="00CD153C" w:rsidRDefault="00910C27" w:rsidP="00CD153C">
            <w:pPr>
              <w:numPr>
                <w:ilvl w:val="2"/>
                <w:numId w:val="24"/>
              </w:numPr>
              <w:spacing w:before="120" w:after="120"/>
            </w:pPr>
            <w:r w:rsidRPr="00CD153C">
              <w:t>Are interruptions needed on other active cells</w:t>
            </w:r>
          </w:p>
          <w:p w14:paraId="5C67A5FE" w14:textId="77777777" w:rsidR="00CD153C" w:rsidRDefault="00910C27" w:rsidP="00CD153C">
            <w:pPr>
              <w:numPr>
                <w:ilvl w:val="3"/>
                <w:numId w:val="24"/>
              </w:numPr>
              <w:spacing w:before="120" w:after="120"/>
            </w:pPr>
            <w:r w:rsidRPr="00CD153C">
              <w:t>If needed, duration of these interruptions</w:t>
            </w:r>
          </w:p>
        </w:tc>
      </w:tr>
    </w:tbl>
    <w:p w14:paraId="37D140F8" w14:textId="77777777" w:rsidR="00CD153C" w:rsidRDefault="00CD153C" w:rsidP="00743717">
      <w:pPr>
        <w:spacing w:before="120" w:after="120"/>
      </w:pPr>
      <w:r>
        <w:t>In this contribution we provide our views on TCI state switching delays.</w:t>
      </w:r>
    </w:p>
    <w:p w14:paraId="71B62E33" w14:textId="77777777" w:rsidR="00F25FDF" w:rsidRDefault="00F25FDF" w:rsidP="00F25FDF"/>
    <w:p w14:paraId="75175EFF"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1CA4623D" w14:textId="77777777" w:rsidR="00E77BD1" w:rsidRDefault="00F0346F" w:rsidP="00743717">
      <w:pPr>
        <w:spacing w:before="120" w:after="120"/>
      </w:pPr>
      <w:r>
        <w:t>The UE is co</w:t>
      </w:r>
      <w:r w:rsidR="00E77BD1">
        <w:t xml:space="preserve">nfigured with a TCI list </w:t>
      </w:r>
      <w:r>
        <w:t xml:space="preserve">for PDSCH and PDCCH via RRC. </w:t>
      </w:r>
      <w:r w:rsidR="001E07DD">
        <w:t xml:space="preserve">The TCI states for PDCCH is a subset of those for PDSCH. </w:t>
      </w:r>
      <w:r>
        <w:t xml:space="preserve">For PDCCH the network configures </w:t>
      </w:r>
      <w:r w:rsidR="00490521">
        <w:t xml:space="preserve">the </w:t>
      </w:r>
      <w:r>
        <w:t xml:space="preserve">active TCI state via MAC CE. </w:t>
      </w:r>
    </w:p>
    <w:p w14:paraId="69596C8A" w14:textId="77777777" w:rsidR="00E77BD1" w:rsidRDefault="00E77BD1" w:rsidP="00743717">
      <w:pPr>
        <w:spacing w:before="120" w:after="120"/>
      </w:pPr>
      <w:r>
        <w:rPr>
          <w:noProof/>
        </w:rPr>
        <w:drawing>
          <wp:inline distT="0" distB="0" distL="0" distR="0" wp14:anchorId="5B81C0C0" wp14:editId="1BCC5FE4">
            <wp:extent cx="5943600" cy="2267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267585"/>
                    </a:xfrm>
                    <a:prstGeom prst="rect">
                      <a:avLst/>
                    </a:prstGeom>
                  </pic:spPr>
                </pic:pic>
              </a:graphicData>
            </a:graphic>
          </wp:inline>
        </w:drawing>
      </w:r>
    </w:p>
    <w:p w14:paraId="26A5D4AF" w14:textId="77777777" w:rsidR="00E77BD1" w:rsidRDefault="00E77BD1" w:rsidP="00E77BD1">
      <w:pPr>
        <w:pStyle w:val="Caption"/>
        <w:jc w:val="center"/>
      </w:pPr>
      <w:r>
        <w:t xml:space="preserve">Figure </w:t>
      </w:r>
      <w:r w:rsidR="00AD52DD">
        <w:rPr>
          <w:noProof/>
        </w:rPr>
        <w:fldChar w:fldCharType="begin"/>
      </w:r>
      <w:r w:rsidR="00AD52DD">
        <w:rPr>
          <w:noProof/>
        </w:rPr>
        <w:instrText xml:space="preserve"> SEQ Figure \* ARABIC </w:instrText>
      </w:r>
      <w:r w:rsidR="00AD52DD">
        <w:rPr>
          <w:noProof/>
        </w:rPr>
        <w:fldChar w:fldCharType="separate"/>
      </w:r>
      <w:r>
        <w:rPr>
          <w:noProof/>
        </w:rPr>
        <w:t>1</w:t>
      </w:r>
      <w:r w:rsidR="00AD52DD">
        <w:rPr>
          <w:noProof/>
        </w:rPr>
        <w:fldChar w:fldCharType="end"/>
      </w:r>
      <w:r>
        <w:t xml:space="preserve">: TCI State for </w:t>
      </w:r>
      <w:r>
        <w:rPr>
          <w:noProof/>
        </w:rPr>
        <w:t>CORESETs other than CORESET0</w:t>
      </w:r>
    </w:p>
    <w:p w14:paraId="42DCFC4A" w14:textId="77777777" w:rsidR="00E77BD1" w:rsidRDefault="00E77BD1" w:rsidP="00743717">
      <w:pPr>
        <w:spacing w:before="120" w:after="120"/>
      </w:pPr>
    </w:p>
    <w:p w14:paraId="20455589" w14:textId="015B38D8" w:rsidR="00D837B1" w:rsidRDefault="00E77BD1" w:rsidP="00D837B1">
      <w:pPr>
        <w:spacing w:before="120" w:after="120"/>
      </w:pPr>
      <w:r>
        <w:lastRenderedPageBreak/>
        <w:t>RRC can configure up to 128 TCI states for PDSCH. T</w:t>
      </w:r>
      <w:r w:rsidR="00F0346F">
        <w:t xml:space="preserve">he UE can have up to 8 activated TCI states via MAC CE. </w:t>
      </w:r>
      <w:r w:rsidR="00D837B1">
        <w:t xml:space="preserve">The UE monitors the activated TCI states. </w:t>
      </w:r>
    </w:p>
    <w:p w14:paraId="1B6BB2CF" w14:textId="6967793A" w:rsidR="00ED517C" w:rsidRPr="00ED517C" w:rsidRDefault="00D837B1" w:rsidP="00ED517C">
      <w:pPr>
        <w:spacing w:before="120" w:after="120"/>
        <w:rPr>
          <w:b/>
          <w:lang w:val="en-GB"/>
        </w:rPr>
      </w:pPr>
      <w:r>
        <w:rPr>
          <w:color w:val="000000"/>
        </w:rPr>
        <w:t xml:space="preserve">When </w:t>
      </w:r>
      <w:r w:rsidR="002A22B6" w:rsidRPr="0048482F">
        <w:rPr>
          <w:color w:val="000000"/>
        </w:rPr>
        <w:t xml:space="preserve">UE is configured with the higher layer parameter </w:t>
      </w:r>
      <w:r w:rsidR="002A22B6" w:rsidRPr="005B68A6">
        <w:rPr>
          <w:i/>
          <w:color w:val="000000"/>
        </w:rPr>
        <w:t>tci-PresentInDCI</w:t>
      </w:r>
      <w:r w:rsidR="002A22B6" w:rsidRPr="0048482F">
        <w:rPr>
          <w:i/>
          <w:color w:val="000000"/>
        </w:rPr>
        <w:t xml:space="preserve"> </w:t>
      </w:r>
      <w:r w:rsidR="002A22B6" w:rsidRPr="00716D05">
        <w:rPr>
          <w:color w:val="000000"/>
        </w:rPr>
        <w:t xml:space="preserve">that </w:t>
      </w:r>
      <w:r w:rsidR="002A22B6" w:rsidRPr="0048482F">
        <w:rPr>
          <w:color w:val="000000"/>
        </w:rPr>
        <w:t xml:space="preserve">is set as </w:t>
      </w:r>
      <w:r w:rsidR="002A22B6">
        <w:rPr>
          <w:color w:val="000000"/>
        </w:rPr>
        <w:t>'e</w:t>
      </w:r>
      <w:r w:rsidR="002A22B6" w:rsidRPr="0048482F">
        <w:rPr>
          <w:color w:val="000000"/>
        </w:rPr>
        <w:t>nabled</w:t>
      </w:r>
      <w:r w:rsidR="002A22B6">
        <w:rPr>
          <w:color w:val="000000"/>
        </w:rPr>
        <w:t>'</w:t>
      </w:r>
      <w:r w:rsidR="002A22B6" w:rsidRPr="0048482F">
        <w:rPr>
          <w:i/>
          <w:color w:val="000000"/>
        </w:rPr>
        <w:t xml:space="preserve"> </w:t>
      </w:r>
      <w:r w:rsidR="002A22B6" w:rsidRPr="0048482F">
        <w:rPr>
          <w:color w:val="000000"/>
        </w:rPr>
        <w:t xml:space="preserve">for the CORESET scheduling the PDSCH, </w:t>
      </w:r>
      <w:r w:rsidR="002A22B6">
        <w:rPr>
          <w:color w:val="000000"/>
        </w:rPr>
        <w:t>the TCI field is present in DCI format 1_1</w:t>
      </w:r>
      <w:r>
        <w:rPr>
          <w:color w:val="000000"/>
        </w:rPr>
        <w:t xml:space="preserve">. If the scheduling offset between scheduling and PDSCH is larger than </w:t>
      </w:r>
      <w:r w:rsidRPr="00D837B1">
        <w:rPr>
          <w:i/>
          <w:color w:val="000000"/>
        </w:rPr>
        <w:t>T</w:t>
      </w:r>
      <w:r w:rsidRPr="00D837B1">
        <w:rPr>
          <w:i/>
        </w:rPr>
        <w:t>hreshold-Sched-Offset</w:t>
      </w:r>
      <w:r>
        <w:rPr>
          <w:color w:val="000000"/>
        </w:rPr>
        <w:t xml:space="preserve"> and TCI field is present, the TCI state for PDSCH is indicated via DCI</w:t>
      </w:r>
      <w:r w:rsidR="002A22B6">
        <w:rPr>
          <w:color w:val="000000"/>
        </w:rPr>
        <w:t xml:space="preserve">. If the </w:t>
      </w:r>
      <w:r w:rsidRPr="005B68A6">
        <w:rPr>
          <w:i/>
          <w:color w:val="000000"/>
        </w:rPr>
        <w:t>tci-PresentInDCI</w:t>
      </w:r>
      <w:r>
        <w:rPr>
          <w:i/>
          <w:color w:val="000000"/>
        </w:rPr>
        <w:t xml:space="preserve"> </w:t>
      </w:r>
      <w:r>
        <w:rPr>
          <w:color w:val="000000"/>
        </w:rPr>
        <w:t xml:space="preserve">is not configured or PDSCH is scheduled using DCI format 1_0 or the scheduling offset between PDCCH and PDSCH is smaller than </w:t>
      </w:r>
      <w:r>
        <w:rPr>
          <w:i/>
        </w:rPr>
        <w:t>T</w:t>
      </w:r>
      <w:r w:rsidRPr="00D837B1">
        <w:rPr>
          <w:i/>
        </w:rPr>
        <w:t>hreshold-Sched-Offset</w:t>
      </w:r>
      <w:r>
        <w:t xml:space="preserve">, PDSCH follows the TCI of PDCCH. </w:t>
      </w:r>
      <w:r w:rsidR="00ED517C">
        <w:rPr>
          <w:i/>
        </w:rPr>
        <w:t>T</w:t>
      </w:r>
      <w:r w:rsidR="00ED517C" w:rsidRPr="00D837B1">
        <w:rPr>
          <w:i/>
        </w:rPr>
        <w:t>hreshold-Sched-Offset</w:t>
      </w:r>
      <w:r w:rsidR="00ED517C">
        <w:rPr>
          <w:i/>
        </w:rPr>
        <w:t xml:space="preserve"> </w:t>
      </w:r>
      <w:r w:rsidR="00ED517C">
        <w:t xml:space="preserve">is based on UE capability </w:t>
      </w:r>
      <w:r w:rsidR="00ED517C" w:rsidRPr="00ED517C">
        <w:rPr>
          <w:i/>
          <w:lang w:val="en-GB"/>
        </w:rPr>
        <w:t>timeDurationForQCL</w:t>
      </w:r>
      <w:r w:rsidR="00ED517C">
        <w:rPr>
          <w:i/>
          <w:lang w:val="en-GB"/>
        </w:rPr>
        <w:t xml:space="preserve"> </w:t>
      </w:r>
      <w:r w:rsidR="00ED517C">
        <w:rPr>
          <w:lang w:val="en-GB"/>
        </w:rPr>
        <w:t>defined in TS 38.306.</w:t>
      </w:r>
    </w:p>
    <w:p w14:paraId="39A199A4" w14:textId="135C02E6" w:rsidR="002A22B6" w:rsidRPr="00ED517C" w:rsidRDefault="002A22B6" w:rsidP="00743717">
      <w:pPr>
        <w:spacing w:before="120" w:after="120"/>
        <w:rPr>
          <w:color w:val="000000"/>
        </w:rPr>
      </w:pPr>
    </w:p>
    <w:p w14:paraId="2A3974AF" w14:textId="77777777" w:rsidR="00712338" w:rsidRDefault="00745FF0" w:rsidP="00712338">
      <w:pPr>
        <w:keepNext/>
        <w:spacing w:before="120" w:after="120"/>
      </w:pPr>
      <w:r>
        <w:rPr>
          <w:noProof/>
        </w:rPr>
        <w:drawing>
          <wp:inline distT="0" distB="0" distL="0" distR="0" wp14:anchorId="0A877503" wp14:editId="09A0BD00">
            <wp:extent cx="5943600" cy="2707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707005"/>
                    </a:xfrm>
                    <a:prstGeom prst="rect">
                      <a:avLst/>
                    </a:prstGeom>
                  </pic:spPr>
                </pic:pic>
              </a:graphicData>
            </a:graphic>
          </wp:inline>
        </w:drawing>
      </w:r>
    </w:p>
    <w:p w14:paraId="793E1744" w14:textId="77777777" w:rsidR="00745FF0" w:rsidRDefault="00712338" w:rsidP="00712338">
      <w:pPr>
        <w:pStyle w:val="Caption"/>
        <w:jc w:val="center"/>
      </w:pPr>
      <w:r>
        <w:t xml:space="preserve">Figure </w:t>
      </w:r>
      <w:r w:rsidR="00AD52DD">
        <w:rPr>
          <w:noProof/>
        </w:rPr>
        <w:fldChar w:fldCharType="begin"/>
      </w:r>
      <w:r w:rsidR="00AD52DD">
        <w:rPr>
          <w:noProof/>
        </w:rPr>
        <w:instrText xml:space="preserve"> SEQ Figure \* ARABIC </w:instrText>
      </w:r>
      <w:r w:rsidR="00AD52DD">
        <w:rPr>
          <w:noProof/>
        </w:rPr>
        <w:fldChar w:fldCharType="separate"/>
      </w:r>
      <w:r w:rsidR="00E77BD1">
        <w:rPr>
          <w:noProof/>
        </w:rPr>
        <w:t>2</w:t>
      </w:r>
      <w:r w:rsidR="00AD52DD">
        <w:rPr>
          <w:noProof/>
        </w:rPr>
        <w:fldChar w:fldCharType="end"/>
      </w:r>
      <w:r>
        <w:t>: TCI State for PDSCH</w:t>
      </w:r>
    </w:p>
    <w:p w14:paraId="5E0F86A9" w14:textId="2EC2AE06" w:rsidR="00712338" w:rsidRDefault="00457149" w:rsidP="00033FD4">
      <w:pPr>
        <w:spacing w:before="120" w:after="120"/>
      </w:pPr>
      <w:r>
        <w:t xml:space="preserve">TCI state change and corresponding beam switch could be initiated via MAC CE or DCI. </w:t>
      </w:r>
      <w:r w:rsidR="00ED517C">
        <w:t xml:space="preserve">When TCI for PDSCH is indicated by DCI, the TCI state or beam switch can be configured via DCI. </w:t>
      </w:r>
      <w:r w:rsidR="000D03D2">
        <w:t xml:space="preserve">DCI based TCI state switch is applicable to PDSCH. </w:t>
      </w:r>
      <w:r w:rsidR="00ED517C">
        <w:t>When PDSCH follows the TCI state of PDCCH, for a beam switch the TCI state of PDCCH must first be initiated via MAC CE. Hence, f</w:t>
      </w:r>
      <w:r>
        <w:t>or PDCCH MAC CE based TCI state switch would be applicable.</w:t>
      </w:r>
      <w:r w:rsidR="00033FD4">
        <w:t xml:space="preserve"> </w:t>
      </w:r>
    </w:p>
    <w:p w14:paraId="14ADDE15" w14:textId="2A0A7406" w:rsidR="00033FD4" w:rsidRPr="00ED517C" w:rsidRDefault="00ED517C" w:rsidP="00033FD4">
      <w:pPr>
        <w:spacing w:before="120" w:after="120"/>
        <w:rPr>
          <w:i/>
        </w:rPr>
      </w:pPr>
      <w:r w:rsidRPr="00ED517C">
        <w:rPr>
          <w:b/>
          <w:i/>
        </w:rPr>
        <w:t>Observation #1</w:t>
      </w:r>
      <w:r w:rsidRPr="00ED517C">
        <w:rPr>
          <w:i/>
        </w:rPr>
        <w:t>: MAC CE based TCI state switch is applicable to PDCCH and DCI based TCI state switch is applicable to PDSCH</w:t>
      </w:r>
    </w:p>
    <w:p w14:paraId="6D2D998D" w14:textId="77777777" w:rsidR="00745FF0" w:rsidRPr="00776DD9" w:rsidRDefault="00745FF0" w:rsidP="00743717">
      <w:pPr>
        <w:spacing w:before="120" w:after="120"/>
        <w:rPr>
          <w:b/>
          <w:sz w:val="24"/>
        </w:rPr>
      </w:pPr>
      <w:r w:rsidRPr="00776DD9">
        <w:rPr>
          <w:b/>
          <w:sz w:val="24"/>
        </w:rPr>
        <w:t>DCI Based TCI State Switch</w:t>
      </w:r>
    </w:p>
    <w:p w14:paraId="0968B2D5" w14:textId="08956936" w:rsidR="00033FD4" w:rsidRDefault="00033FD4" w:rsidP="00743717">
      <w:pPr>
        <w:spacing w:before="120" w:after="120"/>
      </w:pPr>
      <w:r>
        <w:t xml:space="preserve">The activated TCI states are monitored by the UE and the TCI for PDSCH is indicated by DCI. When the PDSCH TCI state is switched via DCI, the TCI state is switched to one of the activated TCI states. </w:t>
      </w:r>
      <w:r w:rsidR="00CC1C8A">
        <w:t>Since the UE is monitoring the TRS for the activated TCI states, it has the necessary time/frequency offset information in order to switch to it without further interruption. Also, the UE is assumed to know Rx beam corresponding to the new TCI state. With the assumption that the UE need not make new measurements after new TCI state is indicate</w:t>
      </w:r>
      <w:r w:rsidR="00856AFE">
        <w:t>d</w:t>
      </w:r>
      <w:r w:rsidR="00CC1C8A">
        <w:t xml:space="preserve"> by DCI, t</w:t>
      </w:r>
      <w:r>
        <w:t xml:space="preserve">he beam switching time for DCI based TCI state change is based on UE capability indicated via </w:t>
      </w:r>
      <w:r w:rsidRPr="00745FF0">
        <w:rPr>
          <w:i/>
        </w:rPr>
        <w:t>timeDurationForQCL</w:t>
      </w:r>
      <w:r>
        <w:rPr>
          <w:i/>
        </w:rPr>
        <w:t>.</w:t>
      </w:r>
      <w:r w:rsidR="00D92D3C" w:rsidRPr="00D92D3C">
        <w:t xml:space="preserve"> </w:t>
      </w:r>
      <w:r w:rsidR="00856AFE">
        <w:t xml:space="preserve">The definition of </w:t>
      </w:r>
      <w:r w:rsidR="00D92D3C" w:rsidRPr="00745FF0">
        <w:rPr>
          <w:i/>
        </w:rPr>
        <w:t>timeDurationForQCL</w:t>
      </w:r>
      <w:r w:rsidR="00D92D3C" w:rsidRPr="001F528E">
        <w:t xml:space="preserve"> </w:t>
      </w:r>
      <w:r w:rsidR="00856AFE">
        <w:t xml:space="preserve">from TS 38.306 is captured below. </w:t>
      </w:r>
    </w:p>
    <w:tbl>
      <w:tblPr>
        <w:tblW w:w="1031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425"/>
        <w:gridCol w:w="771"/>
        <w:gridCol w:w="581"/>
        <w:gridCol w:w="771"/>
        <w:gridCol w:w="771"/>
      </w:tblGrid>
      <w:tr w:rsidR="00856AFE" w:rsidRPr="001F528E" w14:paraId="57FD794F" w14:textId="77777777" w:rsidTr="00856AFE">
        <w:trPr>
          <w:cantSplit/>
          <w:trHeight w:val="620"/>
          <w:tblHeader/>
        </w:trPr>
        <w:tc>
          <w:tcPr>
            <w:tcW w:w="7425" w:type="dxa"/>
          </w:tcPr>
          <w:p w14:paraId="17A6FAD1" w14:textId="77777777" w:rsidR="00856AFE" w:rsidRPr="001F528E" w:rsidRDefault="00856AFE" w:rsidP="00D86FB4">
            <w:pPr>
              <w:pStyle w:val="TAH"/>
              <w:rPr>
                <w:lang w:val="en-GB"/>
              </w:rPr>
            </w:pPr>
            <w:r w:rsidRPr="001F528E">
              <w:rPr>
                <w:lang w:val="en-GB"/>
              </w:rPr>
              <w:lastRenderedPageBreak/>
              <w:t>Definitions for parameters</w:t>
            </w:r>
          </w:p>
        </w:tc>
        <w:tc>
          <w:tcPr>
            <w:tcW w:w="771" w:type="dxa"/>
          </w:tcPr>
          <w:p w14:paraId="7BF0DBE5" w14:textId="77777777" w:rsidR="00856AFE" w:rsidRPr="001F528E" w:rsidRDefault="00856AFE" w:rsidP="00D86FB4">
            <w:pPr>
              <w:pStyle w:val="TAH"/>
              <w:rPr>
                <w:lang w:val="en-GB"/>
              </w:rPr>
            </w:pPr>
            <w:r w:rsidRPr="001F528E">
              <w:rPr>
                <w:lang w:val="en-GB"/>
              </w:rPr>
              <w:t>Per</w:t>
            </w:r>
          </w:p>
        </w:tc>
        <w:tc>
          <w:tcPr>
            <w:tcW w:w="581" w:type="dxa"/>
          </w:tcPr>
          <w:p w14:paraId="6230D454" w14:textId="77777777" w:rsidR="00856AFE" w:rsidRPr="001F528E" w:rsidRDefault="00856AFE" w:rsidP="00D86FB4">
            <w:pPr>
              <w:pStyle w:val="TAH"/>
              <w:rPr>
                <w:lang w:val="en-GB"/>
              </w:rPr>
            </w:pPr>
            <w:r w:rsidRPr="001F528E">
              <w:rPr>
                <w:lang w:val="en-GB"/>
              </w:rPr>
              <w:t>M</w:t>
            </w:r>
          </w:p>
        </w:tc>
        <w:tc>
          <w:tcPr>
            <w:tcW w:w="771" w:type="dxa"/>
          </w:tcPr>
          <w:p w14:paraId="064E8957" w14:textId="77777777" w:rsidR="00856AFE" w:rsidRPr="001F528E" w:rsidRDefault="00856AFE" w:rsidP="00D86FB4">
            <w:pPr>
              <w:pStyle w:val="TAH"/>
              <w:rPr>
                <w:lang w:val="en-GB"/>
              </w:rPr>
            </w:pPr>
            <w:r w:rsidRPr="001F528E">
              <w:rPr>
                <w:lang w:val="en-GB"/>
              </w:rPr>
              <w:t>FDD</w:t>
            </w:r>
            <w:r>
              <w:rPr>
                <w:lang w:val="en-GB"/>
              </w:rPr>
              <w:t>-</w:t>
            </w:r>
            <w:r w:rsidRPr="001F528E">
              <w:rPr>
                <w:lang w:val="en-GB"/>
              </w:rPr>
              <w:t>TDD</w:t>
            </w:r>
          </w:p>
          <w:p w14:paraId="0DF77486" w14:textId="77777777" w:rsidR="00856AFE" w:rsidRPr="001F528E" w:rsidRDefault="00856AFE" w:rsidP="00D86FB4">
            <w:pPr>
              <w:pStyle w:val="TAH"/>
              <w:rPr>
                <w:lang w:val="en-GB"/>
              </w:rPr>
            </w:pPr>
            <w:r w:rsidRPr="001F528E">
              <w:rPr>
                <w:lang w:val="en-GB"/>
              </w:rPr>
              <w:t>DIFF</w:t>
            </w:r>
          </w:p>
        </w:tc>
        <w:tc>
          <w:tcPr>
            <w:tcW w:w="771" w:type="dxa"/>
          </w:tcPr>
          <w:p w14:paraId="693DE8B5" w14:textId="77777777" w:rsidR="00856AFE" w:rsidRPr="001F528E" w:rsidRDefault="00856AFE" w:rsidP="00D86FB4">
            <w:pPr>
              <w:pStyle w:val="TAH"/>
              <w:rPr>
                <w:lang w:val="en-GB"/>
              </w:rPr>
            </w:pPr>
            <w:r w:rsidRPr="001F528E">
              <w:rPr>
                <w:lang w:val="en-GB"/>
              </w:rPr>
              <w:t>FR1</w:t>
            </w:r>
            <w:r>
              <w:rPr>
                <w:lang w:val="en-GB"/>
              </w:rPr>
              <w:t>-</w:t>
            </w:r>
            <w:r w:rsidRPr="001F528E">
              <w:rPr>
                <w:lang w:val="en-GB"/>
              </w:rPr>
              <w:t>FR2</w:t>
            </w:r>
          </w:p>
          <w:p w14:paraId="07155228" w14:textId="77777777" w:rsidR="00856AFE" w:rsidRPr="001F528E" w:rsidRDefault="00856AFE" w:rsidP="00D86FB4">
            <w:pPr>
              <w:pStyle w:val="TAH"/>
              <w:rPr>
                <w:lang w:val="en-GB"/>
              </w:rPr>
            </w:pPr>
            <w:r w:rsidRPr="001F528E">
              <w:rPr>
                <w:lang w:val="en-GB"/>
              </w:rPr>
              <w:t>DIFF</w:t>
            </w:r>
          </w:p>
        </w:tc>
      </w:tr>
      <w:tr w:rsidR="00856AFE" w:rsidRPr="001F528E" w14:paraId="082EFA0C" w14:textId="77777777" w:rsidTr="00856AFE">
        <w:trPr>
          <w:cantSplit/>
          <w:trHeight w:val="1251"/>
          <w:tblHeader/>
        </w:trPr>
        <w:tc>
          <w:tcPr>
            <w:tcW w:w="7425" w:type="dxa"/>
          </w:tcPr>
          <w:p w14:paraId="7C93A2D6" w14:textId="77777777" w:rsidR="00856AFE" w:rsidRPr="001F528E" w:rsidRDefault="00856AFE" w:rsidP="00D86FB4">
            <w:pPr>
              <w:pStyle w:val="TAL"/>
              <w:rPr>
                <w:b/>
                <w:i/>
              </w:rPr>
            </w:pPr>
            <w:r w:rsidRPr="001F528E">
              <w:rPr>
                <w:b/>
                <w:i/>
              </w:rPr>
              <w:t>timeDurationForQCL</w:t>
            </w:r>
          </w:p>
          <w:p w14:paraId="46DAD504" w14:textId="77777777" w:rsidR="00856AFE" w:rsidRPr="001F528E" w:rsidRDefault="00856AFE" w:rsidP="00D86FB4">
            <w:pPr>
              <w:pStyle w:val="TAL"/>
            </w:pPr>
            <w:r w:rsidRPr="001F528E">
              <w:t xml:space="preserve">Defines minimum number of OFDM symbols required by the UE to perform PDCCH reception and applying spatial QCL information received in DCI for PDSCH processing as described in TS 38.214 [12] </w:t>
            </w:r>
            <w:r>
              <w:t>clause</w:t>
            </w:r>
            <w:r w:rsidRPr="001F528E">
              <w:t xml:space="preserve"> 5.1.5, i.e. Threshold-Sched-Offset. UE shall indicate one value of the minimum number of OFDM symbols per each subcarrier spacing of 60kHz and 120kHz.</w:t>
            </w:r>
          </w:p>
        </w:tc>
        <w:tc>
          <w:tcPr>
            <w:tcW w:w="771" w:type="dxa"/>
          </w:tcPr>
          <w:p w14:paraId="542ADC3C" w14:textId="77777777" w:rsidR="00856AFE" w:rsidRPr="001F528E" w:rsidRDefault="00856AFE" w:rsidP="00D86FB4">
            <w:pPr>
              <w:pStyle w:val="TAL"/>
              <w:jc w:val="center"/>
            </w:pPr>
            <w:r w:rsidRPr="001F528E">
              <w:t>FS</w:t>
            </w:r>
          </w:p>
        </w:tc>
        <w:tc>
          <w:tcPr>
            <w:tcW w:w="581" w:type="dxa"/>
          </w:tcPr>
          <w:p w14:paraId="0B4FC537" w14:textId="77777777" w:rsidR="00856AFE" w:rsidRPr="001F528E" w:rsidRDefault="00856AFE" w:rsidP="00D86FB4">
            <w:pPr>
              <w:pStyle w:val="TAL"/>
              <w:jc w:val="center"/>
            </w:pPr>
            <w:r>
              <w:t>Yes</w:t>
            </w:r>
          </w:p>
        </w:tc>
        <w:tc>
          <w:tcPr>
            <w:tcW w:w="771" w:type="dxa"/>
          </w:tcPr>
          <w:p w14:paraId="0E4D732D" w14:textId="77777777" w:rsidR="00856AFE" w:rsidRPr="001F528E" w:rsidRDefault="00856AFE" w:rsidP="00D86FB4">
            <w:pPr>
              <w:pStyle w:val="TAL"/>
              <w:jc w:val="center"/>
            </w:pPr>
            <w:r w:rsidRPr="001F528E">
              <w:t>No</w:t>
            </w:r>
          </w:p>
        </w:tc>
        <w:tc>
          <w:tcPr>
            <w:tcW w:w="771" w:type="dxa"/>
          </w:tcPr>
          <w:p w14:paraId="4C482E8F" w14:textId="77777777" w:rsidR="00856AFE" w:rsidRPr="001F528E" w:rsidRDefault="00856AFE" w:rsidP="00D86FB4">
            <w:pPr>
              <w:pStyle w:val="TAL"/>
              <w:jc w:val="center"/>
            </w:pPr>
            <w:r w:rsidRPr="001F528E">
              <w:t>FR2</w:t>
            </w:r>
            <w:r>
              <w:t xml:space="preserve"> only</w:t>
            </w:r>
          </w:p>
        </w:tc>
      </w:tr>
    </w:tbl>
    <w:p w14:paraId="10A14B8E" w14:textId="3F1A859F" w:rsidR="005F67A6" w:rsidRPr="00D92D3C" w:rsidRDefault="00856AFE" w:rsidP="00743717">
      <w:pPr>
        <w:spacing w:before="120" w:after="120"/>
        <w:rPr>
          <w:b/>
          <w:i/>
        </w:rPr>
      </w:pPr>
      <w:r>
        <w:rPr>
          <w:b/>
          <w:i/>
        </w:rPr>
        <w:t>Observation #2</w:t>
      </w:r>
      <w:r w:rsidR="005F67A6" w:rsidRPr="00D92D3C">
        <w:rPr>
          <w:b/>
          <w:i/>
        </w:rPr>
        <w:t xml:space="preserve">: </w:t>
      </w:r>
      <w:r w:rsidR="005F67A6" w:rsidRPr="00D92D3C">
        <w:rPr>
          <w:i/>
        </w:rPr>
        <w:t>The beam switching time</w:t>
      </w:r>
      <w:r w:rsidR="00D92D3C" w:rsidRPr="00D92D3C">
        <w:rPr>
          <w:i/>
        </w:rPr>
        <w:t xml:space="preserve"> for PDSCH activated via DC</w:t>
      </w:r>
      <w:r w:rsidR="00B275D6">
        <w:rPr>
          <w:i/>
        </w:rPr>
        <w:t>I is indicated by UE capability</w:t>
      </w:r>
      <w:r w:rsidR="00D92D3C" w:rsidRPr="00D92D3C">
        <w:rPr>
          <w:b/>
          <w:i/>
        </w:rPr>
        <w:t xml:space="preserve"> </w:t>
      </w:r>
    </w:p>
    <w:p w14:paraId="0F83673B" w14:textId="44233F9A" w:rsidR="00856AFE" w:rsidRDefault="00856AFE" w:rsidP="00743717">
      <w:pPr>
        <w:spacing w:before="120" w:after="120"/>
      </w:pPr>
      <w:r>
        <w:t xml:space="preserve">The time duration is defined as counting from the </w:t>
      </w:r>
      <w:r w:rsidRPr="00856AFE">
        <w:t>end of last symbol of PDCCH to beginning of the first symbol of PDSCH</w:t>
      </w:r>
      <w:r>
        <w:t xml:space="preserve">. The candidate values for </w:t>
      </w:r>
      <w:r w:rsidRPr="00856AFE">
        <w:rPr>
          <w:i/>
        </w:rPr>
        <w:t>timeDurationForQCL</w:t>
      </w:r>
      <w:r>
        <w:rPr>
          <w:b/>
          <w:i/>
        </w:rPr>
        <w:t xml:space="preserve"> </w:t>
      </w:r>
      <w:r>
        <w:t>are:</w:t>
      </w:r>
    </w:p>
    <w:p w14:paraId="552E682A" w14:textId="38738E34" w:rsidR="00856AFE" w:rsidRDefault="00856AFE" w:rsidP="00856AFE">
      <w:pPr>
        <w:spacing w:before="120" w:after="120"/>
        <w:ind w:left="720"/>
      </w:pPr>
      <w:r>
        <w:t>60KHz SCS: {7, 14, 28} symbols</w:t>
      </w:r>
    </w:p>
    <w:p w14:paraId="20206F67" w14:textId="38267674" w:rsidR="00856AFE" w:rsidRPr="00856AFE" w:rsidRDefault="00856AFE" w:rsidP="00856AFE">
      <w:pPr>
        <w:spacing w:before="120" w:after="120"/>
        <w:ind w:left="720"/>
      </w:pPr>
      <w:r>
        <w:t>120KHz SCS: {14, 28} symbols</w:t>
      </w:r>
    </w:p>
    <w:p w14:paraId="69B77905" w14:textId="19F8AB90" w:rsidR="00AD52DD" w:rsidRPr="00AD52DD" w:rsidRDefault="00AD52DD" w:rsidP="00743717">
      <w:pPr>
        <w:spacing w:before="120" w:after="120"/>
        <w:rPr>
          <w:i/>
        </w:rPr>
      </w:pPr>
      <w:r w:rsidRPr="00AD52DD">
        <w:rPr>
          <w:b/>
          <w:i/>
        </w:rPr>
        <w:t>Proposal #1:</w:t>
      </w:r>
      <w:r w:rsidRPr="00AD52DD">
        <w:rPr>
          <w:i/>
        </w:rPr>
        <w:t xml:space="preserve"> DCI based TCI state/ beam switch delay for PDSCH </w:t>
      </w:r>
      <w:r>
        <w:rPr>
          <w:i/>
        </w:rPr>
        <w:t>starts</w:t>
      </w:r>
      <w:r w:rsidRPr="00AD52DD">
        <w:rPr>
          <w:i/>
        </w:rPr>
        <w:t xml:space="preserve"> from the end of last symbol of PDCCH to beginning of the first symbol of PDSCH</w:t>
      </w:r>
    </w:p>
    <w:p w14:paraId="16DC4694" w14:textId="0E9E496A" w:rsidR="00EA559D" w:rsidRDefault="00856AFE" w:rsidP="00743717">
      <w:pPr>
        <w:spacing w:before="120" w:after="120"/>
      </w:pPr>
      <w:r>
        <w:t>Hence f</w:t>
      </w:r>
      <w:r w:rsidR="00EA559D">
        <w:t xml:space="preserve">or DCI based beam switch the delay </w:t>
      </w:r>
      <w:r>
        <w:t>can be defined based</w:t>
      </w:r>
      <w:r w:rsidR="00EA559D">
        <w:t xml:space="preserve"> on the UE capability.</w:t>
      </w:r>
      <w:r w:rsidR="00D92D3C">
        <w:t xml:space="preserve"> </w:t>
      </w:r>
    </w:p>
    <w:p w14:paraId="1B8C53E4" w14:textId="092E8DAB" w:rsidR="00D92D3C" w:rsidRPr="00D92D3C" w:rsidRDefault="00D92D3C" w:rsidP="00743717">
      <w:pPr>
        <w:spacing w:before="120" w:after="120"/>
        <w:rPr>
          <w:i/>
        </w:rPr>
      </w:pPr>
      <w:r w:rsidRPr="00D92D3C">
        <w:rPr>
          <w:b/>
          <w:i/>
        </w:rPr>
        <w:t>Proposal #</w:t>
      </w:r>
      <w:r w:rsidR="00AD52DD">
        <w:rPr>
          <w:b/>
          <w:i/>
        </w:rPr>
        <w:t>2</w:t>
      </w:r>
      <w:r w:rsidRPr="00D92D3C">
        <w:rPr>
          <w:b/>
          <w:i/>
        </w:rPr>
        <w:t>:</w:t>
      </w:r>
      <w:r w:rsidR="0029439C">
        <w:rPr>
          <w:i/>
        </w:rPr>
        <w:t xml:space="preserve"> The delay for DCI based beam</w:t>
      </w:r>
      <w:r w:rsidRPr="00D92D3C">
        <w:rPr>
          <w:i/>
        </w:rPr>
        <w:t>/</w:t>
      </w:r>
      <w:r w:rsidR="0029439C">
        <w:rPr>
          <w:i/>
        </w:rPr>
        <w:t xml:space="preserve"> </w:t>
      </w:r>
      <w:r w:rsidRPr="00D92D3C">
        <w:rPr>
          <w:i/>
        </w:rPr>
        <w:t>TCI state switch for PDSCH is defined by UE capability timeDurationForQCL</w:t>
      </w:r>
    </w:p>
    <w:p w14:paraId="717B072D" w14:textId="77777777" w:rsidR="00F25FDF" w:rsidRDefault="00F25FDF" w:rsidP="00743717">
      <w:pPr>
        <w:spacing w:before="120" w:after="120"/>
      </w:pPr>
    </w:p>
    <w:p w14:paraId="17CF2FC7" w14:textId="77777777" w:rsidR="00D92D3C" w:rsidRPr="00776DD9" w:rsidRDefault="00D92D3C" w:rsidP="00743717">
      <w:pPr>
        <w:spacing w:before="120" w:after="120"/>
        <w:rPr>
          <w:b/>
          <w:sz w:val="24"/>
        </w:rPr>
      </w:pPr>
      <w:r w:rsidRPr="00776DD9">
        <w:rPr>
          <w:b/>
          <w:sz w:val="24"/>
        </w:rPr>
        <w:t>MAC CE based TCI State Switch</w:t>
      </w:r>
    </w:p>
    <w:p w14:paraId="220FDC77" w14:textId="58357A2C" w:rsidR="00856AFE" w:rsidRDefault="00097B03" w:rsidP="00743717">
      <w:pPr>
        <w:spacing w:before="120" w:after="120"/>
      </w:pPr>
      <w:r>
        <w:t xml:space="preserve">MAC CE based TCI state switch activation is more applicable to PDCCH. </w:t>
      </w:r>
      <w:r w:rsidR="00856AFE">
        <w:t xml:space="preserve">When the TCI state switch is to TCI state in the activated TCI states, which is already monitored by the UE, we could define it as TCI state switch to known TCI. Whereas when the TCI state switch is to a newly activated TCI state not monitored by the UE previously, we could define it as TCI state switch to unknown TCI. </w:t>
      </w:r>
    </w:p>
    <w:p w14:paraId="1AE2F5A2" w14:textId="163E578B" w:rsidR="00AD52DD" w:rsidRPr="00AD52DD" w:rsidRDefault="00AD52DD" w:rsidP="00743717">
      <w:pPr>
        <w:spacing w:before="120" w:after="120"/>
        <w:rPr>
          <w:i/>
        </w:rPr>
      </w:pPr>
      <w:r w:rsidRPr="00AD52DD">
        <w:rPr>
          <w:b/>
          <w:i/>
        </w:rPr>
        <w:t>Observation #3:</w:t>
      </w:r>
      <w:r w:rsidRPr="00AD52DD">
        <w:rPr>
          <w:i/>
        </w:rPr>
        <w:t xml:space="preserve"> MAC CE based TCI switch can be to a known TCI state or to an unknown TCI state</w:t>
      </w:r>
    </w:p>
    <w:p w14:paraId="6FAF1464" w14:textId="1155F5D4" w:rsidR="00F503F1" w:rsidRDefault="00F503F1" w:rsidP="00F503F1">
      <w:pPr>
        <w:spacing w:before="120" w:after="120"/>
      </w:pPr>
      <w:r>
        <w:t>The delay for MAC CE based TCI state switch starts from the slot with PDSCH carrying the activation command to the slot when PDCCH can be received based on new TCI state.</w:t>
      </w:r>
    </w:p>
    <w:p w14:paraId="527785CE" w14:textId="63F89536" w:rsidR="00F503F1" w:rsidRPr="00F503F1" w:rsidRDefault="00F503F1" w:rsidP="00F503F1">
      <w:pPr>
        <w:spacing w:before="120" w:after="120"/>
        <w:rPr>
          <w:i/>
        </w:rPr>
      </w:pPr>
      <w:r w:rsidRPr="00F503F1">
        <w:rPr>
          <w:b/>
          <w:i/>
        </w:rPr>
        <w:t>Proposal #</w:t>
      </w:r>
      <w:r w:rsidR="00AD52DD">
        <w:rPr>
          <w:b/>
          <w:i/>
        </w:rPr>
        <w:t>3</w:t>
      </w:r>
      <w:r w:rsidRPr="00F503F1">
        <w:rPr>
          <w:b/>
          <w:i/>
        </w:rPr>
        <w:t>:</w:t>
      </w:r>
      <w:r w:rsidRPr="00F503F1">
        <w:rPr>
          <w:i/>
        </w:rPr>
        <w:t xml:space="preserve"> The delay for MAC CE based TCI state switch </w:t>
      </w:r>
      <w:r>
        <w:rPr>
          <w:i/>
        </w:rPr>
        <w:t xml:space="preserve">for PDCCH </w:t>
      </w:r>
      <w:r w:rsidRPr="00F503F1">
        <w:rPr>
          <w:i/>
        </w:rPr>
        <w:t>starts from the slot with PDSCH carrying the activation command to the slot when PDCCH can be received based on new TCI state</w:t>
      </w:r>
    </w:p>
    <w:p w14:paraId="2DC5A474" w14:textId="5315BE56" w:rsidR="00DC1525" w:rsidRPr="00776DD9" w:rsidRDefault="00DC1525" w:rsidP="00743717">
      <w:pPr>
        <w:spacing w:before="120" w:after="120"/>
        <w:rPr>
          <w:b/>
        </w:rPr>
      </w:pPr>
      <w:r w:rsidRPr="00776DD9">
        <w:rPr>
          <w:b/>
        </w:rPr>
        <w:t xml:space="preserve">TCI state switch to </w:t>
      </w:r>
      <w:r w:rsidR="00856AFE">
        <w:rPr>
          <w:b/>
        </w:rPr>
        <w:t>known</w:t>
      </w:r>
      <w:r w:rsidRPr="00776DD9">
        <w:rPr>
          <w:b/>
        </w:rPr>
        <w:t xml:space="preserve"> TCI state</w:t>
      </w:r>
    </w:p>
    <w:p w14:paraId="1242CFE8" w14:textId="1448B892" w:rsidR="00DC1525" w:rsidRDefault="00776DD9" w:rsidP="00743717">
      <w:pPr>
        <w:spacing w:before="120" w:after="120"/>
      </w:pPr>
      <w:r>
        <w:t xml:space="preserve">For the case </w:t>
      </w:r>
      <w:r w:rsidR="00CC1C8A">
        <w:t xml:space="preserve">when </w:t>
      </w:r>
      <w:r w:rsidR="0087497F">
        <w:t xml:space="preserve">the </w:t>
      </w:r>
      <w:r w:rsidR="00CC1C8A">
        <w:t xml:space="preserve">new </w:t>
      </w:r>
      <w:bookmarkStart w:id="0" w:name="_GoBack"/>
      <w:bookmarkEnd w:id="0"/>
      <w:r w:rsidR="00CC1C8A">
        <w:t>TCI state is one of the activated TCI states monitored by the UE, the UE has the necessary time/frequency offset information in order to switch to it without further interruption. Also, the UE is assumed to know Rx beam corresponding to the new TCI state. With these assumptions, i</w:t>
      </w:r>
      <w:r>
        <w:t xml:space="preserve">n case of TCI state switch to </w:t>
      </w:r>
      <w:r w:rsidR="0087497F">
        <w:t>known</w:t>
      </w:r>
      <w:r>
        <w:t xml:space="preserve"> TCI state, the beam switching delay consists of the following components:</w:t>
      </w:r>
    </w:p>
    <w:p w14:paraId="282EC1FD" w14:textId="10E89714" w:rsidR="00776DD9" w:rsidRPr="00776DD9" w:rsidRDefault="00776DD9" w:rsidP="00743717">
      <w:pPr>
        <w:spacing w:before="120" w:after="120"/>
      </w:pPr>
      <w:r>
        <w:t>T</w:t>
      </w:r>
      <w:r w:rsidRPr="00776DD9">
        <w:rPr>
          <w:vertAlign w:val="subscript"/>
        </w:rPr>
        <w:t>HARQ</w:t>
      </w:r>
      <w:r>
        <w:t xml:space="preserve">: The time between </w:t>
      </w:r>
      <w:r w:rsidR="0087497F">
        <w:t xml:space="preserve">DL data transmission of PDSCH carrying activation command </w:t>
      </w:r>
      <w:r>
        <w:t xml:space="preserve">and </w:t>
      </w:r>
      <w:r w:rsidR="0087497F">
        <w:t xml:space="preserve">corresponding </w:t>
      </w:r>
      <w:r>
        <w:t>acknowledgement on UL</w:t>
      </w:r>
    </w:p>
    <w:p w14:paraId="108C134E" w14:textId="44DD847E" w:rsidR="00776DD9" w:rsidRDefault="00776DD9" w:rsidP="00743717">
      <w:pPr>
        <w:spacing w:before="120" w:after="120"/>
      </w:pPr>
      <w:r>
        <w:t>T</w:t>
      </w:r>
      <w:r w:rsidRPr="00776DD9">
        <w:rPr>
          <w:vertAlign w:val="subscript"/>
        </w:rPr>
        <w:t>UE-Prep</w:t>
      </w:r>
      <w:r>
        <w:t xml:space="preserve">: UE processing/ preparation time. </w:t>
      </w:r>
    </w:p>
    <w:p w14:paraId="0130AC3F" w14:textId="116601DE" w:rsidR="0087497F" w:rsidRDefault="0087497F" w:rsidP="00743717">
      <w:pPr>
        <w:spacing w:before="120" w:after="120"/>
      </w:pPr>
      <w:r>
        <w:t>The UE processing/ preparation time is defined in TS 38.214 Sec 5.1.5 as follows:</w:t>
      </w:r>
    </w:p>
    <w:p w14:paraId="74CD75DD" w14:textId="092F99CC" w:rsidR="0087497F" w:rsidRDefault="0087497F" w:rsidP="0087497F">
      <w:pPr>
        <w:spacing w:before="120" w:after="120"/>
        <w:ind w:left="540" w:right="450"/>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eastAsia="zh-CN"/>
        </w:rPr>
        <w:t>'Transmission Configuration Indication'</w:t>
      </w:r>
      <w:r w:rsidRPr="003450AF">
        <w:rPr>
          <w:color w:val="000000" w:themeColor="text1"/>
          <w:lang w:eastAsia="zh-CN"/>
        </w:rPr>
        <w:t xml:space="preserve"> should be applied starting from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+1.</w:t>
      </w:r>
    </w:p>
    <w:p w14:paraId="68CD403F" w14:textId="3D2DA5EE" w:rsidR="00DC1525" w:rsidRDefault="0087497F" w:rsidP="00743717">
      <w:pPr>
        <w:spacing w:before="120" w:after="120"/>
      </w:pPr>
      <w:r>
        <w:t>Hence the UE preparation/processing time for MAC CE based activation can be defined as 3ms.</w:t>
      </w:r>
    </w:p>
    <w:p w14:paraId="53A7879A" w14:textId="1B436FFC" w:rsidR="00776DD9" w:rsidRDefault="00776DD9" w:rsidP="00743717">
      <w:pPr>
        <w:spacing w:before="120" w:after="120"/>
      </w:pPr>
      <w:r>
        <w:lastRenderedPageBreak/>
        <w:t>The total delay for MAC CE base</w:t>
      </w:r>
      <w:r w:rsidR="0087497F">
        <w:t>d</w:t>
      </w:r>
      <w:r>
        <w:t xml:space="preserve"> TCI switch to </w:t>
      </w:r>
      <w:r w:rsidR="0087497F">
        <w:t>known</w:t>
      </w:r>
      <w:r>
        <w:t xml:space="preserve"> TCI state can be defined as:</w:t>
      </w:r>
    </w:p>
    <w:p w14:paraId="5D0A0512" w14:textId="14495184" w:rsidR="00776DD9" w:rsidRDefault="00776DD9" w:rsidP="00776DD9">
      <w:pPr>
        <w:spacing w:before="120" w:after="120"/>
        <w:ind w:left="720"/>
      </w:pPr>
      <w:r>
        <w:t>T</w:t>
      </w:r>
      <w:r w:rsidRPr="00776DD9">
        <w:rPr>
          <w:vertAlign w:val="subscript"/>
        </w:rPr>
        <w:t>TCI-</w:t>
      </w:r>
      <w:r w:rsidR="00EF2D45" w:rsidRPr="00776DD9">
        <w:rPr>
          <w:vertAlign w:val="subscript"/>
        </w:rPr>
        <w:t xml:space="preserve">Switch, </w:t>
      </w:r>
      <w:r w:rsidR="0087497F">
        <w:rPr>
          <w:vertAlign w:val="subscript"/>
        </w:rPr>
        <w:t>known</w:t>
      </w:r>
      <w:r w:rsidRPr="00776DD9">
        <w:rPr>
          <w:vertAlign w:val="subscript"/>
        </w:rPr>
        <w:t xml:space="preserve"> </w:t>
      </w:r>
      <w:r>
        <w:t>=  T</w:t>
      </w:r>
      <w:r w:rsidRPr="00776DD9">
        <w:rPr>
          <w:vertAlign w:val="subscript"/>
        </w:rPr>
        <w:t>HARQ</w:t>
      </w:r>
      <w:r>
        <w:t xml:space="preserve"> + T</w:t>
      </w:r>
      <w:r w:rsidRPr="00776DD9">
        <w:rPr>
          <w:vertAlign w:val="subscript"/>
        </w:rPr>
        <w:t>UE-Prep</w:t>
      </w:r>
    </w:p>
    <w:p w14:paraId="6471737B" w14:textId="6A4C2A69" w:rsidR="00776DD9" w:rsidRDefault="00776DD9" w:rsidP="00776DD9">
      <w:pPr>
        <w:spacing w:before="120" w:after="120"/>
        <w:ind w:left="720"/>
      </w:pPr>
      <w:r>
        <w:t>T</w:t>
      </w:r>
      <w:r w:rsidRPr="00776DD9">
        <w:rPr>
          <w:vertAlign w:val="subscript"/>
        </w:rPr>
        <w:t>TCI-</w:t>
      </w:r>
      <w:r w:rsidR="00EF2D45" w:rsidRPr="00776DD9">
        <w:rPr>
          <w:vertAlign w:val="subscript"/>
        </w:rPr>
        <w:t xml:space="preserve">Switch, </w:t>
      </w:r>
      <w:r w:rsidR="0087497F">
        <w:rPr>
          <w:vertAlign w:val="subscript"/>
        </w:rPr>
        <w:t>known</w:t>
      </w:r>
      <w:r w:rsidRPr="00776DD9">
        <w:rPr>
          <w:vertAlign w:val="subscript"/>
        </w:rPr>
        <w:t xml:space="preserve"> </w:t>
      </w:r>
      <w:r>
        <w:t>=  T</w:t>
      </w:r>
      <w:r w:rsidRPr="00776DD9">
        <w:rPr>
          <w:vertAlign w:val="subscript"/>
        </w:rPr>
        <w:t>HARQ</w:t>
      </w:r>
      <w:r>
        <w:t xml:space="preserve"> + </w:t>
      </w:r>
      <w:r w:rsidR="0087497F">
        <w:t>3</w:t>
      </w:r>
      <w:r>
        <w:t>ms</w:t>
      </w:r>
    </w:p>
    <w:p w14:paraId="6F681DC2" w14:textId="77777777" w:rsidR="00A36FD0" w:rsidRDefault="00A36FD0" w:rsidP="00A36FD0">
      <w:pPr>
        <w:spacing w:before="120" w:after="120"/>
        <w:rPr>
          <w:b/>
          <w:i/>
        </w:rPr>
      </w:pPr>
    </w:p>
    <w:p w14:paraId="084A80C9" w14:textId="38A3E139" w:rsidR="00A36FD0" w:rsidRPr="00A36FD0" w:rsidRDefault="00A36FD0" w:rsidP="00A36FD0">
      <w:pPr>
        <w:spacing w:before="120" w:after="120"/>
        <w:rPr>
          <w:i/>
        </w:rPr>
      </w:pPr>
      <w:r w:rsidRPr="00D92D3C">
        <w:rPr>
          <w:b/>
          <w:i/>
        </w:rPr>
        <w:t>Proposal #</w:t>
      </w:r>
      <w:r w:rsidR="00AD52DD">
        <w:rPr>
          <w:b/>
          <w:i/>
        </w:rPr>
        <w:t>4</w:t>
      </w:r>
      <w:r w:rsidRPr="00D92D3C">
        <w:rPr>
          <w:b/>
          <w:i/>
        </w:rPr>
        <w:t>:</w:t>
      </w:r>
      <w:r>
        <w:rPr>
          <w:i/>
        </w:rPr>
        <w:t xml:space="preserve"> The delay for MAC CE based TCI switch for PDCCH to </w:t>
      </w:r>
      <w:r w:rsidR="0087497F">
        <w:rPr>
          <w:i/>
        </w:rPr>
        <w:t>a known</w:t>
      </w:r>
      <w:r>
        <w:rPr>
          <w:i/>
        </w:rPr>
        <w:t xml:space="preserve"> TCI state is defined as </w:t>
      </w:r>
      <w:r w:rsidRPr="00A36FD0">
        <w:rPr>
          <w:i/>
        </w:rPr>
        <w:t>T</w:t>
      </w:r>
      <w:r w:rsidRPr="00A36FD0">
        <w:rPr>
          <w:i/>
          <w:vertAlign w:val="subscript"/>
        </w:rPr>
        <w:t xml:space="preserve">TCI-Switch, </w:t>
      </w:r>
      <w:r w:rsidR="0087497F">
        <w:rPr>
          <w:i/>
          <w:vertAlign w:val="subscript"/>
        </w:rPr>
        <w:t>known</w:t>
      </w:r>
      <w:r w:rsidRPr="00A36FD0">
        <w:rPr>
          <w:i/>
          <w:vertAlign w:val="subscript"/>
        </w:rPr>
        <w:t xml:space="preserve"> </w:t>
      </w:r>
      <w:r w:rsidRPr="00A36FD0">
        <w:rPr>
          <w:i/>
        </w:rPr>
        <w:t>=  T</w:t>
      </w:r>
      <w:r w:rsidRPr="00A36FD0">
        <w:rPr>
          <w:i/>
          <w:vertAlign w:val="subscript"/>
        </w:rPr>
        <w:t>HARQ</w:t>
      </w:r>
      <w:r w:rsidRPr="00A36FD0">
        <w:rPr>
          <w:i/>
        </w:rPr>
        <w:t xml:space="preserve"> + </w:t>
      </w:r>
      <w:r w:rsidR="0087497F">
        <w:rPr>
          <w:i/>
        </w:rPr>
        <w:t>3</w:t>
      </w:r>
      <w:r w:rsidRPr="00A36FD0">
        <w:rPr>
          <w:i/>
        </w:rPr>
        <w:t>ms</w:t>
      </w:r>
    </w:p>
    <w:p w14:paraId="2D3B4250" w14:textId="77777777" w:rsidR="00776DD9" w:rsidRDefault="00776DD9" w:rsidP="00710A1B">
      <w:pPr>
        <w:spacing w:before="120" w:after="120"/>
      </w:pPr>
    </w:p>
    <w:p w14:paraId="556BBFBE" w14:textId="51EC3B4A" w:rsidR="00776DD9" w:rsidRDefault="00776DD9" w:rsidP="00710A1B">
      <w:pPr>
        <w:spacing w:before="120" w:after="120"/>
        <w:rPr>
          <w:b/>
        </w:rPr>
      </w:pPr>
      <w:r w:rsidRPr="00776DD9">
        <w:rPr>
          <w:b/>
        </w:rPr>
        <w:t>TCI state switch to</w:t>
      </w:r>
      <w:r>
        <w:rPr>
          <w:b/>
        </w:rPr>
        <w:t xml:space="preserve"> </w:t>
      </w:r>
      <w:r w:rsidR="0087497F">
        <w:rPr>
          <w:b/>
        </w:rPr>
        <w:t>unknown</w:t>
      </w:r>
      <w:r>
        <w:rPr>
          <w:b/>
        </w:rPr>
        <w:t xml:space="preserve"> TCI state</w:t>
      </w:r>
    </w:p>
    <w:p w14:paraId="21A7BD35" w14:textId="737D8C37" w:rsidR="00CC1C8A" w:rsidRDefault="00776DD9" w:rsidP="00CC1C8A">
      <w:pPr>
        <w:spacing w:before="120" w:after="120"/>
      </w:pPr>
      <w:r>
        <w:t>When the MAC CE act</w:t>
      </w:r>
      <w:r w:rsidR="00CC1C8A">
        <w:t xml:space="preserve">ivation of TCI state is to a </w:t>
      </w:r>
      <w:r w:rsidR="00F503F1">
        <w:t xml:space="preserve">TCI state </w:t>
      </w:r>
      <w:r w:rsidR="00CC1C8A">
        <w:t xml:space="preserve">not previously </w:t>
      </w:r>
      <w:r>
        <w:t xml:space="preserve">activated </w:t>
      </w:r>
      <w:r w:rsidR="00CC1C8A">
        <w:t>or</w:t>
      </w:r>
      <w:r w:rsidR="00F503F1">
        <w:t xml:space="preserve"> to a</w:t>
      </w:r>
      <w:r w:rsidR="00CC1C8A">
        <w:t xml:space="preserve"> newly activated TCI state</w:t>
      </w:r>
      <w:r>
        <w:t xml:space="preserve">, </w:t>
      </w:r>
      <w:r w:rsidR="00CC1C8A">
        <w:t>i.e.</w:t>
      </w:r>
      <w:r>
        <w:t xml:space="preserve"> the</w:t>
      </w:r>
      <w:r w:rsidR="00CC1C8A">
        <w:t xml:space="preserve"> new</w:t>
      </w:r>
      <w:r>
        <w:t xml:space="preserve"> TCI state is not monitored by the UE, the UE needs additional time to track time/ </w:t>
      </w:r>
      <w:r w:rsidR="00CC1C8A">
        <w:t>frequency</w:t>
      </w:r>
      <w:r>
        <w:t xml:space="preserve"> offset based on TRS</w:t>
      </w:r>
      <w:r w:rsidR="00CC1C8A">
        <w:t xml:space="preserve">. </w:t>
      </w:r>
      <w:r w:rsidR="00F503F1">
        <w:t>The motivation to switch the TCI state might be based on some measurements reported by the UE. So it is justified to assume</w:t>
      </w:r>
      <w:r w:rsidR="00CC1C8A">
        <w:t xml:space="preserve"> that the UE knows the Rx beam corresponding to the new TCI state. Based on this assumption, the TCI state switch to a</w:t>
      </w:r>
      <w:r w:rsidR="00F503F1">
        <w:t>n</w:t>
      </w:r>
      <w:r w:rsidR="00CC1C8A">
        <w:t xml:space="preserve"> </w:t>
      </w:r>
      <w:r w:rsidR="00F503F1">
        <w:t>unknown</w:t>
      </w:r>
      <w:r w:rsidR="00CC1C8A">
        <w:t xml:space="preserve"> TCI state, the beam switching delay consists of the following components:</w:t>
      </w:r>
    </w:p>
    <w:p w14:paraId="3B126449" w14:textId="77777777" w:rsidR="00EA0C25" w:rsidRDefault="00EA0C25" w:rsidP="00CC1C8A">
      <w:pPr>
        <w:spacing w:before="120" w:after="120"/>
      </w:pPr>
      <w:r>
        <w:t>T</w:t>
      </w:r>
      <w:r w:rsidRPr="00EA0C25">
        <w:rPr>
          <w:vertAlign w:val="subscript"/>
        </w:rPr>
        <w:t>ACQ-TO-FO</w:t>
      </w:r>
      <w:r>
        <w:t>: Time for Time/ frequency synchronization</w:t>
      </w:r>
    </w:p>
    <w:p w14:paraId="4F2D980E" w14:textId="61E6D7F7" w:rsidR="00F503F1" w:rsidRPr="00F503F1" w:rsidRDefault="00F503F1" w:rsidP="00CC1C8A">
      <w:pPr>
        <w:spacing w:before="120" w:after="120"/>
      </w:pPr>
      <w:r>
        <w:t>The value of T</w:t>
      </w:r>
      <w:r w:rsidRPr="00EA0C25">
        <w:rPr>
          <w:vertAlign w:val="subscript"/>
        </w:rPr>
        <w:t>ACQ-TO-FO</w:t>
      </w:r>
      <w:r>
        <w:rPr>
          <w:vertAlign w:val="subscript"/>
        </w:rPr>
        <w:t xml:space="preserve"> </w:t>
      </w:r>
      <w:r>
        <w:t>shall depend on the periodicity of the configured TRS resource set and time/frequency offset estimation time. The value of T</w:t>
      </w:r>
      <w:r w:rsidRPr="00EA0C25">
        <w:rPr>
          <w:vertAlign w:val="subscript"/>
        </w:rPr>
        <w:t>ACQ-TO-FO</w:t>
      </w:r>
      <w:r>
        <w:t xml:space="preserve"> is FFS.</w:t>
      </w:r>
    </w:p>
    <w:p w14:paraId="12521911" w14:textId="77777777" w:rsidR="00F503F1" w:rsidRPr="00776DD9" w:rsidRDefault="00CC1C8A" w:rsidP="00F503F1">
      <w:pPr>
        <w:spacing w:before="120" w:after="120"/>
      </w:pPr>
      <w:r>
        <w:t>T</w:t>
      </w:r>
      <w:r w:rsidRPr="00776DD9">
        <w:rPr>
          <w:vertAlign w:val="subscript"/>
        </w:rPr>
        <w:t>HARQ</w:t>
      </w:r>
      <w:r>
        <w:t xml:space="preserve">: </w:t>
      </w:r>
      <w:r w:rsidR="00F503F1">
        <w:t>The time between DL data transmission of PDSCH carrying activation command and corresponding acknowledgement on UL</w:t>
      </w:r>
    </w:p>
    <w:p w14:paraId="001E254A" w14:textId="1BD69656" w:rsidR="00CC1C8A" w:rsidRDefault="00CC1C8A" w:rsidP="00CC1C8A">
      <w:pPr>
        <w:spacing w:before="120" w:after="120"/>
      </w:pPr>
      <w:r>
        <w:t>T</w:t>
      </w:r>
      <w:r w:rsidRPr="00776DD9">
        <w:rPr>
          <w:vertAlign w:val="subscript"/>
        </w:rPr>
        <w:t>UE-Prep</w:t>
      </w:r>
      <w:r>
        <w:t xml:space="preserve">: UE processing/ preparation time. </w:t>
      </w:r>
    </w:p>
    <w:p w14:paraId="1F893B70" w14:textId="20AAAFF9" w:rsidR="00EA0C25" w:rsidRDefault="00EA0C25" w:rsidP="00EA0C25">
      <w:pPr>
        <w:spacing w:before="120" w:after="120"/>
        <w:ind w:left="720"/>
      </w:pPr>
      <w:r>
        <w:t>T</w:t>
      </w:r>
      <w:r w:rsidRPr="00776DD9">
        <w:rPr>
          <w:vertAlign w:val="subscript"/>
        </w:rPr>
        <w:t>TCI-</w:t>
      </w:r>
      <w:r w:rsidR="00EF2D45" w:rsidRPr="00776DD9">
        <w:rPr>
          <w:vertAlign w:val="subscript"/>
        </w:rPr>
        <w:t>Switch,</w:t>
      </w:r>
      <w:r w:rsidR="00EF2D45">
        <w:rPr>
          <w:vertAlign w:val="subscript"/>
        </w:rPr>
        <w:t xml:space="preserve"> </w:t>
      </w:r>
      <w:r w:rsidR="00F503F1">
        <w:rPr>
          <w:vertAlign w:val="subscript"/>
        </w:rPr>
        <w:t>unknown</w:t>
      </w:r>
      <w:r w:rsidRPr="00776DD9">
        <w:rPr>
          <w:vertAlign w:val="subscript"/>
        </w:rPr>
        <w:t xml:space="preserve"> </w:t>
      </w:r>
      <w:r>
        <w:t>=  T</w:t>
      </w:r>
      <w:r w:rsidRPr="00EA0C25">
        <w:rPr>
          <w:vertAlign w:val="subscript"/>
        </w:rPr>
        <w:t>ACQ-TO-FO</w:t>
      </w:r>
      <w:r>
        <w:t xml:space="preserve"> + T</w:t>
      </w:r>
      <w:r w:rsidRPr="00776DD9">
        <w:rPr>
          <w:vertAlign w:val="subscript"/>
        </w:rPr>
        <w:t>HARQ</w:t>
      </w:r>
      <w:r>
        <w:t xml:space="preserve"> + </w:t>
      </w:r>
      <w:r w:rsidR="00F503F1">
        <w:t>3</w:t>
      </w:r>
      <w:r>
        <w:t>ms</w:t>
      </w:r>
    </w:p>
    <w:p w14:paraId="6EB9E9F7" w14:textId="77777777" w:rsidR="00A36FD0" w:rsidRPr="00AC3B8C" w:rsidRDefault="00A36FD0" w:rsidP="00A36FD0">
      <w:pPr>
        <w:spacing w:before="120" w:after="120"/>
        <w:rPr>
          <w:b/>
          <w:i/>
        </w:rPr>
      </w:pPr>
    </w:p>
    <w:p w14:paraId="6D518C62" w14:textId="64584FD0" w:rsidR="00A36FD0" w:rsidRPr="00AC3B8C" w:rsidRDefault="00A36FD0" w:rsidP="00A36FD0">
      <w:pPr>
        <w:spacing w:before="120" w:after="120"/>
        <w:rPr>
          <w:i/>
        </w:rPr>
      </w:pPr>
      <w:r w:rsidRPr="00AC3B8C">
        <w:rPr>
          <w:b/>
          <w:i/>
        </w:rPr>
        <w:t>Proposal #</w:t>
      </w:r>
      <w:r w:rsidR="00AD52DD" w:rsidRPr="00AC3B8C">
        <w:rPr>
          <w:b/>
          <w:i/>
        </w:rPr>
        <w:t>5</w:t>
      </w:r>
      <w:r w:rsidRPr="00AC3B8C">
        <w:rPr>
          <w:b/>
          <w:i/>
        </w:rPr>
        <w:t>:</w:t>
      </w:r>
      <w:r w:rsidRPr="00AC3B8C">
        <w:rPr>
          <w:i/>
        </w:rPr>
        <w:t xml:space="preserve"> The delay for MAC CE based TCI switch for PDCCH to </w:t>
      </w:r>
      <w:r w:rsidR="00F503F1" w:rsidRPr="00AC3B8C">
        <w:rPr>
          <w:i/>
        </w:rPr>
        <w:t>an unknown</w:t>
      </w:r>
      <w:r w:rsidRPr="00AC3B8C">
        <w:rPr>
          <w:i/>
        </w:rPr>
        <w:t xml:space="preserve"> TCI state is defined as T</w:t>
      </w:r>
      <w:r w:rsidRPr="00AC3B8C">
        <w:rPr>
          <w:i/>
          <w:vertAlign w:val="subscript"/>
        </w:rPr>
        <w:t xml:space="preserve">TCI-Switch, </w:t>
      </w:r>
      <w:r w:rsidR="00F503F1" w:rsidRPr="00AC3B8C">
        <w:rPr>
          <w:i/>
          <w:vertAlign w:val="subscript"/>
        </w:rPr>
        <w:t>unknown</w:t>
      </w:r>
      <w:r w:rsidRPr="00AC3B8C">
        <w:rPr>
          <w:i/>
          <w:vertAlign w:val="subscript"/>
        </w:rPr>
        <w:t xml:space="preserve"> </w:t>
      </w:r>
      <w:r w:rsidRPr="00AC3B8C">
        <w:rPr>
          <w:i/>
        </w:rPr>
        <w:t>=  T</w:t>
      </w:r>
      <w:r w:rsidRPr="00AC3B8C">
        <w:rPr>
          <w:i/>
          <w:vertAlign w:val="subscript"/>
        </w:rPr>
        <w:t>ACQ-TO-FO</w:t>
      </w:r>
      <w:r w:rsidRPr="00AC3B8C">
        <w:rPr>
          <w:i/>
        </w:rPr>
        <w:t xml:space="preserve"> + T</w:t>
      </w:r>
      <w:r w:rsidRPr="00AC3B8C">
        <w:rPr>
          <w:i/>
          <w:vertAlign w:val="subscript"/>
        </w:rPr>
        <w:t>HARQ</w:t>
      </w:r>
      <w:r w:rsidRPr="00AC3B8C">
        <w:rPr>
          <w:i/>
        </w:rPr>
        <w:t xml:space="preserve"> + </w:t>
      </w:r>
      <w:r w:rsidR="00F503F1" w:rsidRPr="00AC3B8C">
        <w:rPr>
          <w:i/>
        </w:rPr>
        <w:t>3</w:t>
      </w:r>
      <w:r w:rsidRPr="00AC3B8C">
        <w:rPr>
          <w:i/>
        </w:rPr>
        <w:t>ms</w:t>
      </w:r>
    </w:p>
    <w:p w14:paraId="6C837BEB" w14:textId="77777777" w:rsidR="00776DD9" w:rsidRPr="00776DD9" w:rsidRDefault="00776DD9" w:rsidP="00710A1B">
      <w:pPr>
        <w:spacing w:before="120" w:after="120"/>
      </w:pPr>
    </w:p>
    <w:p w14:paraId="29B996BE" w14:textId="77777777"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14:paraId="4FD8C566" w14:textId="77777777" w:rsidR="00F25FDF" w:rsidRDefault="00F25FDF" w:rsidP="00743717">
      <w:pPr>
        <w:spacing w:before="120" w:after="120"/>
      </w:pPr>
      <w:r>
        <w:t>In this paper</w:t>
      </w:r>
      <w:r w:rsidR="00465A66">
        <w:t xml:space="preserve"> </w:t>
      </w:r>
      <w:r w:rsidR="007838F4">
        <w:t>we present our views on TCI state switch delays. Our proposals are summarized below:</w:t>
      </w:r>
    </w:p>
    <w:p w14:paraId="3059379E" w14:textId="77777777" w:rsidR="00AD52DD" w:rsidRPr="00ED517C" w:rsidRDefault="00AD52DD" w:rsidP="00AD52DD">
      <w:pPr>
        <w:spacing w:before="120" w:after="120"/>
        <w:rPr>
          <w:i/>
        </w:rPr>
      </w:pPr>
      <w:r w:rsidRPr="00ED517C">
        <w:rPr>
          <w:b/>
          <w:i/>
        </w:rPr>
        <w:t>Observation #1</w:t>
      </w:r>
      <w:r w:rsidRPr="00ED517C">
        <w:rPr>
          <w:i/>
        </w:rPr>
        <w:t>: MAC CE based TCI state switch is applicable to PDCCH and DCI based TCI state switch is applicable to PDSCH</w:t>
      </w:r>
    </w:p>
    <w:p w14:paraId="57116A1F" w14:textId="7015513B" w:rsidR="007838F4" w:rsidRDefault="007838F4" w:rsidP="007838F4">
      <w:pPr>
        <w:spacing w:before="120" w:after="120"/>
        <w:rPr>
          <w:b/>
          <w:i/>
        </w:rPr>
      </w:pPr>
      <w:r w:rsidRPr="00D92D3C">
        <w:rPr>
          <w:b/>
          <w:i/>
        </w:rPr>
        <w:t>Observation #</w:t>
      </w:r>
      <w:r w:rsidR="00AD52DD">
        <w:rPr>
          <w:b/>
          <w:i/>
        </w:rPr>
        <w:t>2</w:t>
      </w:r>
      <w:r w:rsidRPr="00D92D3C">
        <w:rPr>
          <w:b/>
          <w:i/>
        </w:rPr>
        <w:t xml:space="preserve">: </w:t>
      </w:r>
      <w:r w:rsidRPr="00D92D3C">
        <w:rPr>
          <w:i/>
        </w:rPr>
        <w:t>The beam switching time for PDSCH activated via DC</w:t>
      </w:r>
      <w:r w:rsidR="00B275D6">
        <w:rPr>
          <w:i/>
        </w:rPr>
        <w:t>I is indicated by UE capability</w:t>
      </w:r>
      <w:r w:rsidRPr="00D92D3C">
        <w:rPr>
          <w:b/>
          <w:i/>
        </w:rPr>
        <w:t xml:space="preserve"> </w:t>
      </w:r>
    </w:p>
    <w:p w14:paraId="511DD3B2" w14:textId="5C572C29" w:rsidR="00AD52DD" w:rsidRPr="00AD52DD" w:rsidRDefault="00AD52DD" w:rsidP="00AD52DD">
      <w:pPr>
        <w:spacing w:before="120" w:after="120"/>
        <w:rPr>
          <w:i/>
        </w:rPr>
      </w:pPr>
      <w:r w:rsidRPr="00AD52DD">
        <w:rPr>
          <w:b/>
          <w:i/>
        </w:rPr>
        <w:t>Proposal #1:</w:t>
      </w:r>
      <w:r w:rsidRPr="00AD52DD">
        <w:rPr>
          <w:i/>
        </w:rPr>
        <w:t xml:space="preserve"> DCI based TCI state/ beam switch delay for PDSCH </w:t>
      </w:r>
      <w:r>
        <w:rPr>
          <w:i/>
        </w:rPr>
        <w:t>starts</w:t>
      </w:r>
      <w:r w:rsidRPr="00AD52DD">
        <w:rPr>
          <w:i/>
        </w:rPr>
        <w:t xml:space="preserve"> from the end of last symbol of PDCCH to beginni</w:t>
      </w:r>
      <w:r w:rsidR="00B275D6">
        <w:rPr>
          <w:i/>
        </w:rPr>
        <w:t>ng of the first symbol of PDSCH</w:t>
      </w:r>
    </w:p>
    <w:p w14:paraId="522108E4" w14:textId="10A9A510" w:rsidR="007838F4" w:rsidRDefault="007838F4" w:rsidP="007838F4">
      <w:pPr>
        <w:spacing w:before="120" w:after="120"/>
        <w:rPr>
          <w:i/>
        </w:rPr>
      </w:pPr>
      <w:r w:rsidRPr="00D92D3C">
        <w:rPr>
          <w:b/>
          <w:i/>
        </w:rPr>
        <w:t>Proposal #</w:t>
      </w:r>
      <w:r w:rsidR="00AD52DD">
        <w:rPr>
          <w:b/>
          <w:i/>
        </w:rPr>
        <w:t>2</w:t>
      </w:r>
      <w:r w:rsidRPr="00D92D3C">
        <w:rPr>
          <w:b/>
          <w:i/>
        </w:rPr>
        <w:t>:</w:t>
      </w:r>
      <w:r>
        <w:rPr>
          <w:i/>
        </w:rPr>
        <w:t xml:space="preserve"> The delay for DCI based beam</w:t>
      </w:r>
      <w:r w:rsidRPr="00D92D3C">
        <w:rPr>
          <w:i/>
        </w:rPr>
        <w:t>/</w:t>
      </w:r>
      <w:r>
        <w:rPr>
          <w:i/>
        </w:rPr>
        <w:t xml:space="preserve"> </w:t>
      </w:r>
      <w:r w:rsidRPr="00D92D3C">
        <w:rPr>
          <w:i/>
        </w:rPr>
        <w:t>TCI state switch for PDSCH is defined by UE capability timeDurationForQCL</w:t>
      </w:r>
    </w:p>
    <w:p w14:paraId="5771F24D" w14:textId="77777777" w:rsidR="00AD52DD" w:rsidRPr="00AD52DD" w:rsidRDefault="00AD52DD" w:rsidP="00AD52DD">
      <w:pPr>
        <w:spacing w:before="120" w:after="120"/>
        <w:rPr>
          <w:i/>
        </w:rPr>
      </w:pPr>
      <w:r w:rsidRPr="00AD52DD">
        <w:rPr>
          <w:b/>
          <w:i/>
        </w:rPr>
        <w:t>Observation #3:</w:t>
      </w:r>
      <w:r w:rsidRPr="00AD52DD">
        <w:rPr>
          <w:i/>
        </w:rPr>
        <w:t xml:space="preserve"> MAC CE based TCI switch can be to a known TCI state or to an unknown TCI state</w:t>
      </w:r>
    </w:p>
    <w:p w14:paraId="1E95104E" w14:textId="77777777" w:rsidR="00AD52DD" w:rsidRPr="00F503F1" w:rsidRDefault="00AD52DD" w:rsidP="00AD52DD">
      <w:pPr>
        <w:spacing w:before="120" w:after="120"/>
        <w:rPr>
          <w:i/>
        </w:rPr>
      </w:pPr>
      <w:r w:rsidRPr="00F503F1">
        <w:rPr>
          <w:b/>
          <w:i/>
        </w:rPr>
        <w:t>Proposal #</w:t>
      </w:r>
      <w:r>
        <w:rPr>
          <w:b/>
          <w:i/>
        </w:rPr>
        <w:t>3</w:t>
      </w:r>
      <w:r w:rsidRPr="00F503F1">
        <w:rPr>
          <w:b/>
          <w:i/>
        </w:rPr>
        <w:t>:</w:t>
      </w:r>
      <w:r w:rsidRPr="00F503F1">
        <w:rPr>
          <w:i/>
        </w:rPr>
        <w:t xml:space="preserve"> The delay for MAC CE based TCI state switch </w:t>
      </w:r>
      <w:r>
        <w:rPr>
          <w:i/>
        </w:rPr>
        <w:t xml:space="preserve">for PDCCH </w:t>
      </w:r>
      <w:r w:rsidRPr="00F503F1">
        <w:rPr>
          <w:i/>
        </w:rPr>
        <w:t>starts from the slot with PDSCH carrying the activation command to the slot when PDCCH can be received based on new TCI state</w:t>
      </w:r>
    </w:p>
    <w:p w14:paraId="13ECE186" w14:textId="036C87D9" w:rsidR="00AD52DD" w:rsidRPr="00A36FD0" w:rsidRDefault="00AD52DD" w:rsidP="00AD52DD">
      <w:pPr>
        <w:spacing w:before="120" w:after="120"/>
        <w:rPr>
          <w:i/>
        </w:rPr>
      </w:pPr>
      <w:r w:rsidRPr="00D92D3C">
        <w:rPr>
          <w:b/>
          <w:i/>
        </w:rPr>
        <w:t>Proposal #</w:t>
      </w:r>
      <w:r>
        <w:rPr>
          <w:b/>
          <w:i/>
        </w:rPr>
        <w:t>4</w:t>
      </w:r>
      <w:r w:rsidRPr="00D92D3C">
        <w:rPr>
          <w:b/>
          <w:i/>
        </w:rPr>
        <w:t>:</w:t>
      </w:r>
      <w:r>
        <w:rPr>
          <w:i/>
        </w:rPr>
        <w:t xml:space="preserve"> The delay for MAC CE based TCI switch for PDCCH to a known TCI state is defined as </w:t>
      </w:r>
      <w:r w:rsidRPr="00A36FD0">
        <w:rPr>
          <w:i/>
        </w:rPr>
        <w:t>T</w:t>
      </w:r>
      <w:r w:rsidRPr="00A36FD0">
        <w:rPr>
          <w:i/>
          <w:vertAlign w:val="subscript"/>
        </w:rPr>
        <w:t xml:space="preserve">TCI-Switch, </w:t>
      </w:r>
      <w:r>
        <w:rPr>
          <w:i/>
          <w:vertAlign w:val="subscript"/>
        </w:rPr>
        <w:t>known</w:t>
      </w:r>
      <w:r w:rsidRPr="00A36FD0">
        <w:rPr>
          <w:i/>
          <w:vertAlign w:val="subscript"/>
        </w:rPr>
        <w:t xml:space="preserve"> </w:t>
      </w:r>
      <w:r w:rsidRPr="00A36FD0">
        <w:rPr>
          <w:i/>
        </w:rPr>
        <w:t>=  T</w:t>
      </w:r>
      <w:r w:rsidRPr="00A36FD0">
        <w:rPr>
          <w:i/>
          <w:vertAlign w:val="subscript"/>
        </w:rPr>
        <w:t>HARQ</w:t>
      </w:r>
      <w:r w:rsidRPr="00A36FD0">
        <w:rPr>
          <w:i/>
        </w:rPr>
        <w:t xml:space="preserve"> + </w:t>
      </w:r>
      <w:r>
        <w:rPr>
          <w:i/>
        </w:rPr>
        <w:t>3</w:t>
      </w:r>
      <w:r w:rsidRPr="00A36FD0">
        <w:rPr>
          <w:i/>
        </w:rPr>
        <w:t>ms</w:t>
      </w:r>
    </w:p>
    <w:p w14:paraId="7249F904" w14:textId="77777777" w:rsidR="00AD52DD" w:rsidRPr="00AC3B8C" w:rsidRDefault="00AD52DD" w:rsidP="00AD52DD">
      <w:pPr>
        <w:spacing w:before="120" w:after="120"/>
        <w:rPr>
          <w:i/>
        </w:rPr>
      </w:pPr>
      <w:r w:rsidRPr="00AC3B8C">
        <w:rPr>
          <w:b/>
          <w:i/>
        </w:rPr>
        <w:t>Proposal #5:</w:t>
      </w:r>
      <w:r w:rsidRPr="00AC3B8C">
        <w:rPr>
          <w:i/>
        </w:rPr>
        <w:t xml:space="preserve"> The delay for MAC CE based TCI switch for PDCCH to an unknown TCI state is defined as T</w:t>
      </w:r>
      <w:r w:rsidRPr="00AC3B8C">
        <w:rPr>
          <w:i/>
          <w:vertAlign w:val="subscript"/>
        </w:rPr>
        <w:t xml:space="preserve">TCI-Switch, unknown </w:t>
      </w:r>
      <w:r w:rsidRPr="00AC3B8C">
        <w:rPr>
          <w:i/>
        </w:rPr>
        <w:t>=  T</w:t>
      </w:r>
      <w:r w:rsidRPr="00AC3B8C">
        <w:rPr>
          <w:i/>
          <w:vertAlign w:val="subscript"/>
        </w:rPr>
        <w:t>ACQ-TO-FO</w:t>
      </w:r>
      <w:r w:rsidRPr="00AC3B8C">
        <w:rPr>
          <w:i/>
        </w:rPr>
        <w:t xml:space="preserve"> + T</w:t>
      </w:r>
      <w:r w:rsidRPr="00AC3B8C">
        <w:rPr>
          <w:i/>
          <w:vertAlign w:val="subscript"/>
        </w:rPr>
        <w:t>HARQ</w:t>
      </w:r>
      <w:r w:rsidRPr="00AC3B8C">
        <w:rPr>
          <w:i/>
        </w:rPr>
        <w:t xml:space="preserve"> + 3ms</w:t>
      </w:r>
    </w:p>
    <w:p w14:paraId="572E197F" w14:textId="77777777" w:rsidR="00AD52DD" w:rsidRPr="00D92D3C" w:rsidRDefault="00AD52DD" w:rsidP="007838F4">
      <w:pPr>
        <w:spacing w:before="120" w:after="120"/>
        <w:rPr>
          <w:i/>
        </w:rPr>
      </w:pPr>
    </w:p>
    <w:p w14:paraId="464F294D" w14:textId="77777777"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14:paraId="65F04058" w14:textId="77777777" w:rsidR="00F25FDF" w:rsidRDefault="00F25FDF" w:rsidP="00CD153C">
      <w:pPr>
        <w:pStyle w:val="ListParagraph"/>
        <w:numPr>
          <w:ilvl w:val="0"/>
          <w:numId w:val="23"/>
        </w:numPr>
      </w:pPr>
      <w:r>
        <w:t xml:space="preserve">  </w:t>
      </w:r>
      <w:r w:rsidR="00CD153C">
        <w:t xml:space="preserve">R4-1816678, “WF on </w:t>
      </w:r>
      <w:r w:rsidR="00CD153C" w:rsidRPr="00CD153C">
        <w:t>delay for TCI state switch and SCell activation with multiple TCI states</w:t>
      </w:r>
      <w:r w:rsidR="00CD153C">
        <w:t>”, Qualcomm Incorporated</w:t>
      </w:r>
    </w:p>
    <w:p w14:paraId="4CE153D9" w14:textId="77777777" w:rsidR="00F25FDF" w:rsidRPr="00F25FDF" w:rsidRDefault="00F25FDF" w:rsidP="00F25FDF">
      <w:pPr>
        <w:rPr>
          <w:lang w:eastAsia="en-GB"/>
        </w:rPr>
      </w:pPr>
    </w:p>
    <w:p w14:paraId="7B5A8A8A" w14:textId="77777777"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003DBF"/>
    <w:multiLevelType w:val="hybridMultilevel"/>
    <w:tmpl w:val="2A208060"/>
    <w:lvl w:ilvl="0" w:tplc="4564A068">
      <w:start w:val="1"/>
      <w:numFmt w:val="bullet"/>
      <w:lvlText w:val="•"/>
      <w:lvlJc w:val="left"/>
      <w:pPr>
        <w:tabs>
          <w:tab w:val="num" w:pos="720"/>
        </w:tabs>
        <w:ind w:left="720" w:hanging="360"/>
      </w:pPr>
      <w:rPr>
        <w:rFonts w:ascii="Arial" w:hAnsi="Arial" w:hint="default"/>
      </w:rPr>
    </w:lvl>
    <w:lvl w:ilvl="1" w:tplc="5470A496">
      <w:start w:val="188"/>
      <w:numFmt w:val="bullet"/>
      <w:lvlText w:val="•"/>
      <w:lvlJc w:val="left"/>
      <w:pPr>
        <w:tabs>
          <w:tab w:val="num" w:pos="1440"/>
        </w:tabs>
        <w:ind w:left="1440" w:hanging="360"/>
      </w:pPr>
      <w:rPr>
        <w:rFonts w:ascii="Arial" w:hAnsi="Arial" w:hint="default"/>
      </w:rPr>
    </w:lvl>
    <w:lvl w:ilvl="2" w:tplc="7CC4D680">
      <w:start w:val="188"/>
      <w:numFmt w:val="bullet"/>
      <w:lvlText w:val="•"/>
      <w:lvlJc w:val="left"/>
      <w:pPr>
        <w:tabs>
          <w:tab w:val="num" w:pos="2160"/>
        </w:tabs>
        <w:ind w:left="2160" w:hanging="360"/>
      </w:pPr>
      <w:rPr>
        <w:rFonts w:ascii="Arial" w:hAnsi="Arial" w:hint="default"/>
      </w:rPr>
    </w:lvl>
    <w:lvl w:ilvl="3" w:tplc="79A8ACB2">
      <w:start w:val="188"/>
      <w:numFmt w:val="bullet"/>
      <w:lvlText w:val="•"/>
      <w:lvlJc w:val="left"/>
      <w:pPr>
        <w:tabs>
          <w:tab w:val="num" w:pos="2880"/>
        </w:tabs>
        <w:ind w:left="2880" w:hanging="360"/>
      </w:pPr>
      <w:rPr>
        <w:rFonts w:ascii="Arial" w:hAnsi="Arial" w:hint="default"/>
      </w:rPr>
    </w:lvl>
    <w:lvl w:ilvl="4" w:tplc="C400E99C" w:tentative="1">
      <w:start w:val="1"/>
      <w:numFmt w:val="bullet"/>
      <w:lvlText w:val="•"/>
      <w:lvlJc w:val="left"/>
      <w:pPr>
        <w:tabs>
          <w:tab w:val="num" w:pos="3600"/>
        </w:tabs>
        <w:ind w:left="3600" w:hanging="360"/>
      </w:pPr>
      <w:rPr>
        <w:rFonts w:ascii="Arial" w:hAnsi="Arial" w:hint="default"/>
      </w:rPr>
    </w:lvl>
    <w:lvl w:ilvl="5" w:tplc="A8DEF126" w:tentative="1">
      <w:start w:val="1"/>
      <w:numFmt w:val="bullet"/>
      <w:lvlText w:val="•"/>
      <w:lvlJc w:val="left"/>
      <w:pPr>
        <w:tabs>
          <w:tab w:val="num" w:pos="4320"/>
        </w:tabs>
        <w:ind w:left="4320" w:hanging="360"/>
      </w:pPr>
      <w:rPr>
        <w:rFonts w:ascii="Arial" w:hAnsi="Arial" w:hint="default"/>
      </w:rPr>
    </w:lvl>
    <w:lvl w:ilvl="6" w:tplc="D166DEA2" w:tentative="1">
      <w:start w:val="1"/>
      <w:numFmt w:val="bullet"/>
      <w:lvlText w:val="•"/>
      <w:lvlJc w:val="left"/>
      <w:pPr>
        <w:tabs>
          <w:tab w:val="num" w:pos="5040"/>
        </w:tabs>
        <w:ind w:left="5040" w:hanging="360"/>
      </w:pPr>
      <w:rPr>
        <w:rFonts w:ascii="Arial" w:hAnsi="Arial" w:hint="default"/>
      </w:rPr>
    </w:lvl>
    <w:lvl w:ilvl="7" w:tplc="9E0CCED2" w:tentative="1">
      <w:start w:val="1"/>
      <w:numFmt w:val="bullet"/>
      <w:lvlText w:val="•"/>
      <w:lvlJc w:val="left"/>
      <w:pPr>
        <w:tabs>
          <w:tab w:val="num" w:pos="5760"/>
        </w:tabs>
        <w:ind w:left="5760" w:hanging="360"/>
      </w:pPr>
      <w:rPr>
        <w:rFonts w:ascii="Arial" w:hAnsi="Arial" w:hint="default"/>
      </w:rPr>
    </w:lvl>
    <w:lvl w:ilvl="8" w:tplc="033ED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7120C53"/>
    <w:multiLevelType w:val="hybridMultilevel"/>
    <w:tmpl w:val="21529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2B7F56"/>
    <w:multiLevelType w:val="hybridMultilevel"/>
    <w:tmpl w:val="6DD05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
  </w:num>
  <w:num w:numId="25">
    <w:abstractNumId w:val="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3FD4"/>
    <w:rsid w:val="00037226"/>
    <w:rsid w:val="00097B03"/>
    <w:rsid w:val="000A5AEE"/>
    <w:rsid w:val="000B5655"/>
    <w:rsid w:val="000D03D2"/>
    <w:rsid w:val="000D19E1"/>
    <w:rsid w:val="000D6425"/>
    <w:rsid w:val="001E07DD"/>
    <w:rsid w:val="00265ECE"/>
    <w:rsid w:val="00290525"/>
    <w:rsid w:val="0029439C"/>
    <w:rsid w:val="002A22B6"/>
    <w:rsid w:val="002D57DF"/>
    <w:rsid w:val="002E3D9D"/>
    <w:rsid w:val="00314BC5"/>
    <w:rsid w:val="00341272"/>
    <w:rsid w:val="00390B7D"/>
    <w:rsid w:val="00457149"/>
    <w:rsid w:val="00465A66"/>
    <w:rsid w:val="00487801"/>
    <w:rsid w:val="00490521"/>
    <w:rsid w:val="005131B6"/>
    <w:rsid w:val="005650F4"/>
    <w:rsid w:val="005952F3"/>
    <w:rsid w:val="005B2AAB"/>
    <w:rsid w:val="005C4104"/>
    <w:rsid w:val="005C774C"/>
    <w:rsid w:val="005F67A6"/>
    <w:rsid w:val="006534F9"/>
    <w:rsid w:val="006B319F"/>
    <w:rsid w:val="006F55C0"/>
    <w:rsid w:val="00710A1B"/>
    <w:rsid w:val="00712338"/>
    <w:rsid w:val="007267F1"/>
    <w:rsid w:val="00743717"/>
    <w:rsid w:val="00745FF0"/>
    <w:rsid w:val="007477E2"/>
    <w:rsid w:val="00776DD9"/>
    <w:rsid w:val="007838F4"/>
    <w:rsid w:val="007E108E"/>
    <w:rsid w:val="007E6871"/>
    <w:rsid w:val="00856AFE"/>
    <w:rsid w:val="0087497F"/>
    <w:rsid w:val="008816F3"/>
    <w:rsid w:val="00910C27"/>
    <w:rsid w:val="00915F2B"/>
    <w:rsid w:val="00A10227"/>
    <w:rsid w:val="00A24B64"/>
    <w:rsid w:val="00A36FD0"/>
    <w:rsid w:val="00A376DB"/>
    <w:rsid w:val="00A81355"/>
    <w:rsid w:val="00AC3B8C"/>
    <w:rsid w:val="00AD52DD"/>
    <w:rsid w:val="00B01F61"/>
    <w:rsid w:val="00B13CAE"/>
    <w:rsid w:val="00B275D6"/>
    <w:rsid w:val="00B37BFD"/>
    <w:rsid w:val="00B9674E"/>
    <w:rsid w:val="00B97A71"/>
    <w:rsid w:val="00C51C71"/>
    <w:rsid w:val="00C546F9"/>
    <w:rsid w:val="00C5515C"/>
    <w:rsid w:val="00C5730A"/>
    <w:rsid w:val="00C629E4"/>
    <w:rsid w:val="00CA62D1"/>
    <w:rsid w:val="00CC1C8A"/>
    <w:rsid w:val="00CD153C"/>
    <w:rsid w:val="00D837B1"/>
    <w:rsid w:val="00D92D3C"/>
    <w:rsid w:val="00DB24FD"/>
    <w:rsid w:val="00DC0E02"/>
    <w:rsid w:val="00DC1525"/>
    <w:rsid w:val="00DE5666"/>
    <w:rsid w:val="00E02F1D"/>
    <w:rsid w:val="00E77BD1"/>
    <w:rsid w:val="00EA0C25"/>
    <w:rsid w:val="00EA559D"/>
    <w:rsid w:val="00ED22B4"/>
    <w:rsid w:val="00ED517C"/>
    <w:rsid w:val="00EE3C19"/>
    <w:rsid w:val="00EF2D45"/>
    <w:rsid w:val="00F0346F"/>
    <w:rsid w:val="00F25FDF"/>
    <w:rsid w:val="00F26175"/>
    <w:rsid w:val="00F503F1"/>
    <w:rsid w:val="00FB121C"/>
    <w:rsid w:val="00FE0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39DC0"/>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CD1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4B64"/>
    <w:rPr>
      <w:sz w:val="16"/>
      <w:szCs w:val="16"/>
    </w:rPr>
  </w:style>
  <w:style w:type="paragraph" w:styleId="CommentText">
    <w:name w:val="annotation text"/>
    <w:basedOn w:val="Normal"/>
    <w:link w:val="CommentTextChar"/>
    <w:uiPriority w:val="99"/>
    <w:semiHidden/>
    <w:unhideWhenUsed/>
    <w:rsid w:val="00A24B64"/>
  </w:style>
  <w:style w:type="character" w:customStyle="1" w:styleId="CommentTextChar">
    <w:name w:val="Comment Text Char"/>
    <w:basedOn w:val="DefaultParagraphFont"/>
    <w:link w:val="CommentText"/>
    <w:uiPriority w:val="99"/>
    <w:semiHidden/>
    <w:rsid w:val="00A24B64"/>
    <w:rPr>
      <w:rFonts w:eastAsia="MS Mincho"/>
    </w:rPr>
  </w:style>
  <w:style w:type="paragraph" w:styleId="CommentSubject">
    <w:name w:val="annotation subject"/>
    <w:basedOn w:val="CommentText"/>
    <w:next w:val="CommentText"/>
    <w:link w:val="CommentSubjectChar"/>
    <w:uiPriority w:val="99"/>
    <w:semiHidden/>
    <w:unhideWhenUsed/>
    <w:rsid w:val="00A24B64"/>
    <w:rPr>
      <w:b/>
      <w:bCs/>
    </w:rPr>
  </w:style>
  <w:style w:type="character" w:customStyle="1" w:styleId="CommentSubjectChar">
    <w:name w:val="Comment Subject Char"/>
    <w:basedOn w:val="CommentTextChar"/>
    <w:link w:val="CommentSubject"/>
    <w:uiPriority w:val="99"/>
    <w:semiHidden/>
    <w:rsid w:val="00A24B64"/>
    <w:rPr>
      <w:rFonts w:eastAsia="MS Mincho"/>
      <w:b/>
      <w:bCs/>
    </w:rPr>
  </w:style>
  <w:style w:type="paragraph" w:styleId="BalloonText">
    <w:name w:val="Balloon Text"/>
    <w:basedOn w:val="Normal"/>
    <w:link w:val="BalloonTextChar"/>
    <w:uiPriority w:val="99"/>
    <w:semiHidden/>
    <w:unhideWhenUsed/>
    <w:rsid w:val="00A24B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B64"/>
    <w:rPr>
      <w:rFonts w:ascii="Segoe UI" w:eastAsia="MS Mincho" w:hAnsi="Segoe UI" w:cs="Segoe UI"/>
      <w:sz w:val="18"/>
      <w:szCs w:val="18"/>
    </w:rPr>
  </w:style>
  <w:style w:type="paragraph" w:customStyle="1" w:styleId="TAH">
    <w:name w:val="TAH"/>
    <w:basedOn w:val="Normal"/>
    <w:link w:val="TAHCar"/>
    <w:qFormat/>
    <w:rsid w:val="00856AFE"/>
    <w:pPr>
      <w:keepNext/>
      <w:keepLines/>
      <w:jc w:val="center"/>
    </w:pPr>
    <w:rPr>
      <w:rFonts w:ascii="Arial" w:eastAsia="Malgun Gothic" w:hAnsi="Arial"/>
      <w:b/>
      <w:sz w:val="18"/>
      <w:lang w:val="x-none"/>
    </w:rPr>
  </w:style>
  <w:style w:type="character" w:customStyle="1" w:styleId="TAHCar">
    <w:name w:val="TAH Car"/>
    <w:link w:val="TAH"/>
    <w:qFormat/>
    <w:locked/>
    <w:rsid w:val="00856AFE"/>
    <w:rPr>
      <w:rFonts w:ascii="Arial" w:eastAsia="Malgun Gothic" w:hAnsi="Arial"/>
      <w:b/>
      <w:sz w:val="18"/>
      <w:lang w:val="x-none"/>
    </w:rPr>
  </w:style>
  <w:style w:type="paragraph" w:customStyle="1" w:styleId="TAL">
    <w:name w:val="TAL"/>
    <w:basedOn w:val="Normal"/>
    <w:link w:val="TALCar"/>
    <w:qFormat/>
    <w:rsid w:val="00856AFE"/>
    <w:pPr>
      <w:keepNext/>
      <w:keepLines/>
      <w:jc w:val="left"/>
    </w:pPr>
    <w:rPr>
      <w:rFonts w:ascii="Arial" w:eastAsia="Malgun Gothic" w:hAnsi="Arial"/>
      <w:sz w:val="18"/>
      <w:lang w:val="en-GB"/>
    </w:rPr>
  </w:style>
  <w:style w:type="character" w:customStyle="1" w:styleId="TALCar">
    <w:name w:val="TAL Car"/>
    <w:link w:val="TAL"/>
    <w:qFormat/>
    <w:rsid w:val="00856AFE"/>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02110">
      <w:bodyDiv w:val="1"/>
      <w:marLeft w:val="0"/>
      <w:marRight w:val="0"/>
      <w:marTop w:val="0"/>
      <w:marBottom w:val="0"/>
      <w:divBdr>
        <w:top w:val="none" w:sz="0" w:space="0" w:color="auto"/>
        <w:left w:val="none" w:sz="0" w:space="0" w:color="auto"/>
        <w:bottom w:val="none" w:sz="0" w:space="0" w:color="auto"/>
        <w:right w:val="none" w:sz="0" w:space="0" w:color="auto"/>
      </w:divBdr>
      <w:divsChild>
        <w:div w:id="364793952">
          <w:marLeft w:val="360"/>
          <w:marRight w:val="0"/>
          <w:marTop w:val="200"/>
          <w:marBottom w:val="0"/>
          <w:divBdr>
            <w:top w:val="none" w:sz="0" w:space="0" w:color="auto"/>
            <w:left w:val="none" w:sz="0" w:space="0" w:color="auto"/>
            <w:bottom w:val="none" w:sz="0" w:space="0" w:color="auto"/>
            <w:right w:val="none" w:sz="0" w:space="0" w:color="auto"/>
          </w:divBdr>
        </w:div>
        <w:div w:id="1575820406">
          <w:marLeft w:val="1080"/>
          <w:marRight w:val="0"/>
          <w:marTop w:val="100"/>
          <w:marBottom w:val="0"/>
          <w:divBdr>
            <w:top w:val="none" w:sz="0" w:space="0" w:color="auto"/>
            <w:left w:val="none" w:sz="0" w:space="0" w:color="auto"/>
            <w:bottom w:val="none" w:sz="0" w:space="0" w:color="auto"/>
            <w:right w:val="none" w:sz="0" w:space="0" w:color="auto"/>
          </w:divBdr>
        </w:div>
        <w:div w:id="1666132353">
          <w:marLeft w:val="1080"/>
          <w:marRight w:val="0"/>
          <w:marTop w:val="100"/>
          <w:marBottom w:val="0"/>
          <w:divBdr>
            <w:top w:val="none" w:sz="0" w:space="0" w:color="auto"/>
            <w:left w:val="none" w:sz="0" w:space="0" w:color="auto"/>
            <w:bottom w:val="none" w:sz="0" w:space="0" w:color="auto"/>
            <w:right w:val="none" w:sz="0" w:space="0" w:color="auto"/>
          </w:divBdr>
        </w:div>
        <w:div w:id="1509099813">
          <w:marLeft w:val="1800"/>
          <w:marRight w:val="0"/>
          <w:marTop w:val="100"/>
          <w:marBottom w:val="0"/>
          <w:divBdr>
            <w:top w:val="none" w:sz="0" w:space="0" w:color="auto"/>
            <w:left w:val="none" w:sz="0" w:space="0" w:color="auto"/>
            <w:bottom w:val="none" w:sz="0" w:space="0" w:color="auto"/>
            <w:right w:val="none" w:sz="0" w:space="0" w:color="auto"/>
          </w:divBdr>
        </w:div>
        <w:div w:id="1893541299">
          <w:marLeft w:val="1800"/>
          <w:marRight w:val="0"/>
          <w:marTop w:val="100"/>
          <w:marBottom w:val="0"/>
          <w:divBdr>
            <w:top w:val="none" w:sz="0" w:space="0" w:color="auto"/>
            <w:left w:val="none" w:sz="0" w:space="0" w:color="auto"/>
            <w:bottom w:val="none" w:sz="0" w:space="0" w:color="auto"/>
            <w:right w:val="none" w:sz="0" w:space="0" w:color="auto"/>
          </w:divBdr>
        </w:div>
        <w:div w:id="1248922983">
          <w:marLeft w:val="2520"/>
          <w:marRight w:val="0"/>
          <w:marTop w:val="100"/>
          <w:marBottom w:val="0"/>
          <w:divBdr>
            <w:top w:val="none" w:sz="0" w:space="0" w:color="auto"/>
            <w:left w:val="none" w:sz="0" w:space="0" w:color="auto"/>
            <w:bottom w:val="none" w:sz="0" w:space="0" w:color="auto"/>
            <w:right w:val="none" w:sz="0" w:space="0" w:color="auto"/>
          </w:divBdr>
        </w:div>
        <w:div w:id="965432280">
          <w:marLeft w:val="360"/>
          <w:marRight w:val="0"/>
          <w:marTop w:val="200"/>
          <w:marBottom w:val="0"/>
          <w:divBdr>
            <w:top w:val="none" w:sz="0" w:space="0" w:color="auto"/>
            <w:left w:val="none" w:sz="0" w:space="0" w:color="auto"/>
            <w:bottom w:val="none" w:sz="0" w:space="0" w:color="auto"/>
            <w:right w:val="none" w:sz="0" w:space="0" w:color="auto"/>
          </w:divBdr>
        </w:div>
      </w:divsChild>
    </w:div>
    <w:div w:id="1250038357">
      <w:bodyDiv w:val="1"/>
      <w:marLeft w:val="0"/>
      <w:marRight w:val="0"/>
      <w:marTop w:val="0"/>
      <w:marBottom w:val="0"/>
      <w:divBdr>
        <w:top w:val="none" w:sz="0" w:space="0" w:color="auto"/>
        <w:left w:val="none" w:sz="0" w:space="0" w:color="auto"/>
        <w:bottom w:val="none" w:sz="0" w:space="0" w:color="auto"/>
        <w:right w:val="none" w:sz="0" w:space="0" w:color="auto"/>
      </w:divBdr>
      <w:divsChild>
        <w:div w:id="674185012">
          <w:marLeft w:val="360"/>
          <w:marRight w:val="0"/>
          <w:marTop w:val="200"/>
          <w:marBottom w:val="0"/>
          <w:divBdr>
            <w:top w:val="none" w:sz="0" w:space="0" w:color="auto"/>
            <w:left w:val="none" w:sz="0" w:space="0" w:color="auto"/>
            <w:bottom w:val="none" w:sz="0" w:space="0" w:color="auto"/>
            <w:right w:val="none" w:sz="0" w:space="0" w:color="auto"/>
          </w:divBdr>
        </w:div>
        <w:div w:id="1196850010">
          <w:marLeft w:val="1080"/>
          <w:marRight w:val="0"/>
          <w:marTop w:val="100"/>
          <w:marBottom w:val="0"/>
          <w:divBdr>
            <w:top w:val="none" w:sz="0" w:space="0" w:color="auto"/>
            <w:left w:val="none" w:sz="0" w:space="0" w:color="auto"/>
            <w:bottom w:val="none" w:sz="0" w:space="0" w:color="auto"/>
            <w:right w:val="none" w:sz="0" w:space="0" w:color="auto"/>
          </w:divBdr>
        </w:div>
        <w:div w:id="1691108749">
          <w:marLeft w:val="1080"/>
          <w:marRight w:val="0"/>
          <w:marTop w:val="100"/>
          <w:marBottom w:val="0"/>
          <w:divBdr>
            <w:top w:val="none" w:sz="0" w:space="0" w:color="auto"/>
            <w:left w:val="none" w:sz="0" w:space="0" w:color="auto"/>
            <w:bottom w:val="none" w:sz="0" w:space="0" w:color="auto"/>
            <w:right w:val="none" w:sz="0" w:space="0" w:color="auto"/>
          </w:divBdr>
        </w:div>
        <w:div w:id="828912068">
          <w:marLeft w:val="1800"/>
          <w:marRight w:val="0"/>
          <w:marTop w:val="100"/>
          <w:marBottom w:val="0"/>
          <w:divBdr>
            <w:top w:val="none" w:sz="0" w:space="0" w:color="auto"/>
            <w:left w:val="none" w:sz="0" w:space="0" w:color="auto"/>
            <w:bottom w:val="none" w:sz="0" w:space="0" w:color="auto"/>
            <w:right w:val="none" w:sz="0" w:space="0" w:color="auto"/>
          </w:divBdr>
        </w:div>
        <w:div w:id="1099639451">
          <w:marLeft w:val="1800"/>
          <w:marRight w:val="0"/>
          <w:marTop w:val="100"/>
          <w:marBottom w:val="0"/>
          <w:divBdr>
            <w:top w:val="none" w:sz="0" w:space="0" w:color="auto"/>
            <w:left w:val="none" w:sz="0" w:space="0" w:color="auto"/>
            <w:bottom w:val="none" w:sz="0" w:space="0" w:color="auto"/>
            <w:right w:val="none" w:sz="0" w:space="0" w:color="auto"/>
          </w:divBdr>
        </w:div>
        <w:div w:id="1958440073">
          <w:marLeft w:val="2520"/>
          <w:marRight w:val="0"/>
          <w:marTop w:val="100"/>
          <w:marBottom w:val="0"/>
          <w:divBdr>
            <w:top w:val="none" w:sz="0" w:space="0" w:color="auto"/>
            <w:left w:val="none" w:sz="0" w:space="0" w:color="auto"/>
            <w:bottom w:val="none" w:sz="0" w:space="0" w:color="auto"/>
            <w:right w:val="none" w:sz="0" w:space="0" w:color="auto"/>
          </w:divBdr>
        </w:div>
        <w:div w:id="733814875">
          <w:marLeft w:val="360"/>
          <w:marRight w:val="0"/>
          <w:marTop w:val="200"/>
          <w:marBottom w:val="0"/>
          <w:divBdr>
            <w:top w:val="none" w:sz="0" w:space="0" w:color="auto"/>
            <w:left w:val="none" w:sz="0" w:space="0" w:color="auto"/>
            <w:bottom w:val="none" w:sz="0" w:space="0" w:color="auto"/>
            <w:right w:val="none" w:sz="0" w:space="0" w:color="auto"/>
          </w:divBdr>
        </w:div>
      </w:divsChild>
    </w:div>
    <w:div w:id="1467236553">
      <w:bodyDiv w:val="1"/>
      <w:marLeft w:val="0"/>
      <w:marRight w:val="0"/>
      <w:marTop w:val="0"/>
      <w:marBottom w:val="0"/>
      <w:divBdr>
        <w:top w:val="none" w:sz="0" w:space="0" w:color="auto"/>
        <w:left w:val="none" w:sz="0" w:space="0" w:color="auto"/>
        <w:bottom w:val="none" w:sz="0" w:space="0" w:color="auto"/>
        <w:right w:val="none" w:sz="0" w:space="0" w:color="auto"/>
      </w:divBdr>
      <w:divsChild>
        <w:div w:id="959145144">
          <w:marLeft w:val="360"/>
          <w:marRight w:val="0"/>
          <w:marTop w:val="200"/>
          <w:marBottom w:val="0"/>
          <w:divBdr>
            <w:top w:val="none" w:sz="0" w:space="0" w:color="auto"/>
            <w:left w:val="none" w:sz="0" w:space="0" w:color="auto"/>
            <w:bottom w:val="none" w:sz="0" w:space="0" w:color="auto"/>
            <w:right w:val="none" w:sz="0" w:space="0" w:color="auto"/>
          </w:divBdr>
        </w:div>
        <w:div w:id="1201940287">
          <w:marLeft w:val="1080"/>
          <w:marRight w:val="0"/>
          <w:marTop w:val="100"/>
          <w:marBottom w:val="0"/>
          <w:divBdr>
            <w:top w:val="none" w:sz="0" w:space="0" w:color="auto"/>
            <w:left w:val="none" w:sz="0" w:space="0" w:color="auto"/>
            <w:bottom w:val="none" w:sz="0" w:space="0" w:color="auto"/>
            <w:right w:val="none" w:sz="0" w:space="0" w:color="auto"/>
          </w:divBdr>
        </w:div>
        <w:div w:id="1971813898">
          <w:marLeft w:val="1080"/>
          <w:marRight w:val="0"/>
          <w:marTop w:val="100"/>
          <w:marBottom w:val="0"/>
          <w:divBdr>
            <w:top w:val="none" w:sz="0" w:space="0" w:color="auto"/>
            <w:left w:val="none" w:sz="0" w:space="0" w:color="auto"/>
            <w:bottom w:val="none" w:sz="0" w:space="0" w:color="auto"/>
            <w:right w:val="none" w:sz="0" w:space="0" w:color="auto"/>
          </w:divBdr>
        </w:div>
        <w:div w:id="1805537492">
          <w:marLeft w:val="1800"/>
          <w:marRight w:val="0"/>
          <w:marTop w:val="100"/>
          <w:marBottom w:val="0"/>
          <w:divBdr>
            <w:top w:val="none" w:sz="0" w:space="0" w:color="auto"/>
            <w:left w:val="none" w:sz="0" w:space="0" w:color="auto"/>
            <w:bottom w:val="none" w:sz="0" w:space="0" w:color="auto"/>
            <w:right w:val="none" w:sz="0" w:space="0" w:color="auto"/>
          </w:divBdr>
        </w:div>
        <w:div w:id="120996958">
          <w:marLeft w:val="1800"/>
          <w:marRight w:val="0"/>
          <w:marTop w:val="100"/>
          <w:marBottom w:val="0"/>
          <w:divBdr>
            <w:top w:val="none" w:sz="0" w:space="0" w:color="auto"/>
            <w:left w:val="none" w:sz="0" w:space="0" w:color="auto"/>
            <w:bottom w:val="none" w:sz="0" w:space="0" w:color="auto"/>
            <w:right w:val="none" w:sz="0" w:space="0" w:color="auto"/>
          </w:divBdr>
        </w:div>
        <w:div w:id="650863587">
          <w:marLeft w:val="2520"/>
          <w:marRight w:val="0"/>
          <w:marTop w:val="100"/>
          <w:marBottom w:val="0"/>
          <w:divBdr>
            <w:top w:val="none" w:sz="0" w:space="0" w:color="auto"/>
            <w:left w:val="none" w:sz="0" w:space="0" w:color="auto"/>
            <w:bottom w:val="none" w:sz="0" w:space="0" w:color="auto"/>
            <w:right w:val="none" w:sz="0" w:space="0" w:color="auto"/>
          </w:divBdr>
        </w:div>
        <w:div w:id="3319513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2468</TotalTime>
  <Pages>5</Pages>
  <Words>1582</Words>
  <Characters>7512</Characters>
  <Application>Microsoft Office Word</Application>
  <DocSecurity>0</DocSecurity>
  <Lines>149</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25</cp:revision>
  <dcterms:created xsi:type="dcterms:W3CDTF">2019-02-07T22:00:00Z</dcterms:created>
  <dcterms:modified xsi:type="dcterms:W3CDTF">2019-02-15T03:58:00Z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6bb0e4e7-acd7-4423-9f5b-942406428d00</vt:lpwstr>
  </property>
  <property fmtid="{D5CDD505-2E9C-101B-9397-08002B2CF9AE}" pid="3" name="CTP_TimeStamp">
    <vt:lpwstr>2019-02-15 03:58:28Z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